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E033" w14:textId="31775792" w:rsidR="00C9705D" w:rsidRDefault="003B74B9" w:rsidP="00112F9F">
      <w:pPr>
        <w:pStyle w:val="NormalnyWeb"/>
        <w:rPr>
          <w:b/>
        </w:rPr>
      </w:pPr>
      <w:r>
        <w:rPr>
          <w:noProof/>
        </w:rPr>
        <w:drawing>
          <wp:inline distT="0" distB="0" distL="0" distR="0" wp14:anchorId="4A6741A6" wp14:editId="393EACA2">
            <wp:extent cx="5760720" cy="23926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E74F" w14:textId="25CFFC46" w:rsidR="00112F9F" w:rsidRDefault="00112F9F" w:rsidP="00C9705D">
      <w:pPr>
        <w:pStyle w:val="NormalnyWeb"/>
        <w:spacing w:before="0" w:beforeAutospacing="0" w:after="0" w:afterAutospacing="0"/>
      </w:pPr>
      <w:r w:rsidRPr="00112F9F">
        <w:rPr>
          <w:b/>
        </w:rPr>
        <w:t>Szanowni Państwo</w:t>
      </w:r>
      <w:r>
        <w:t xml:space="preserve">, </w:t>
      </w:r>
    </w:p>
    <w:p w14:paraId="06D242B1" w14:textId="77777777" w:rsidR="00C9705D" w:rsidRDefault="00C9705D" w:rsidP="00C9705D">
      <w:pPr>
        <w:pStyle w:val="NormalnyWeb"/>
        <w:spacing w:before="0" w:beforeAutospacing="0" w:after="0" w:afterAutospacing="0"/>
        <w:jc w:val="both"/>
      </w:pPr>
    </w:p>
    <w:p w14:paraId="17EF0581" w14:textId="1CB1962A" w:rsidR="00C9705D" w:rsidRDefault="002C3A33" w:rsidP="00C9705D">
      <w:pPr>
        <w:pStyle w:val="NormalnyWeb"/>
        <w:spacing w:before="0" w:beforeAutospacing="0" w:after="0" w:afterAutospacing="0"/>
        <w:jc w:val="both"/>
      </w:pPr>
      <w:r>
        <w:t xml:space="preserve">Instytut Gospodarki Surowcami Mineralnymi i Energią Polskiej Akademii Nauk zaprasza do udziału w serii </w:t>
      </w:r>
      <w:proofErr w:type="spellStart"/>
      <w:r>
        <w:t>webinarów</w:t>
      </w:r>
      <w:proofErr w:type="spellEnd"/>
      <w:r>
        <w:t xml:space="preserve"> poświęconych zagadnieniu </w:t>
      </w:r>
      <w:proofErr w:type="spellStart"/>
      <w:r>
        <w:rPr>
          <w:rStyle w:val="Uwydatnienie"/>
        </w:rPr>
        <w:t>Social</w:t>
      </w:r>
      <w:proofErr w:type="spellEnd"/>
      <w:r>
        <w:rPr>
          <w:rStyle w:val="Uwydatnienie"/>
        </w:rPr>
        <w:t xml:space="preserve"> License to </w:t>
      </w:r>
      <w:proofErr w:type="spellStart"/>
      <w:r>
        <w:rPr>
          <w:rStyle w:val="Uwydatnienie"/>
        </w:rPr>
        <w:t>Operate</w:t>
      </w:r>
      <w:proofErr w:type="spellEnd"/>
      <w:r>
        <w:t xml:space="preserve"> (SLO) w europejskim sektorze surowców, organizowanej wspólnie z partnerami konsorcjum projektu RM-SLO-PLUS-HUB. </w:t>
      </w:r>
      <w:r w:rsidR="004D17DB">
        <w:t xml:space="preserve">Webinarium będzie prowadzone w języku angielskim. </w:t>
      </w:r>
    </w:p>
    <w:p w14:paraId="1CC4A115" w14:textId="77777777" w:rsidR="00C9705D" w:rsidRDefault="00C9705D" w:rsidP="00C9705D">
      <w:pPr>
        <w:pStyle w:val="NormalnyWeb"/>
        <w:spacing w:before="0" w:beforeAutospacing="0" w:after="0" w:afterAutospacing="0"/>
        <w:jc w:val="both"/>
      </w:pPr>
    </w:p>
    <w:p w14:paraId="7FA8C910" w14:textId="5AA6F3B7" w:rsidR="00C9705D" w:rsidRDefault="00C9705D" w:rsidP="00D3450C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t xml:space="preserve">Szkolenie odbędzie się w </w:t>
      </w:r>
      <w:r w:rsidR="00D3450C">
        <w:t xml:space="preserve">dniach </w:t>
      </w:r>
      <w:r>
        <w:rPr>
          <w:rStyle w:val="Pogrubienie"/>
        </w:rPr>
        <w:t xml:space="preserve">26–27 maja </w:t>
      </w:r>
      <w:r w:rsidRPr="00C9705D">
        <w:rPr>
          <w:rStyle w:val="Pogrubienie"/>
          <w:b w:val="0"/>
          <w:bCs w:val="0"/>
        </w:rPr>
        <w:t xml:space="preserve">w godzinach </w:t>
      </w:r>
      <w:r>
        <w:rPr>
          <w:rStyle w:val="Pogrubienie"/>
        </w:rPr>
        <w:t>10.00-13.00 i dedykowane jest dla studentów, doktorantów i praktyków zajmujących się ESG, pozwoleniami czy zarządzaniem firmami, głównie z przemysłu surowcowego, w tym recyklingu.</w:t>
      </w:r>
    </w:p>
    <w:p w14:paraId="20265D51" w14:textId="4F19B2F7" w:rsidR="00C9705D" w:rsidRDefault="00C9705D" w:rsidP="00D3450C">
      <w:pPr>
        <w:pStyle w:val="NormalnyWeb"/>
        <w:spacing w:before="0" w:beforeAutospacing="0" w:after="0" w:afterAutospacing="0"/>
        <w:jc w:val="both"/>
      </w:pPr>
      <w:r>
        <w:t xml:space="preserve">Udział dla studentów i doktorantów w pierwszym dniu  26 maja jest </w:t>
      </w:r>
      <w:r w:rsidRPr="00C9705D">
        <w:rPr>
          <w:b/>
          <w:bCs/>
        </w:rPr>
        <w:t>bezpłatny</w:t>
      </w:r>
      <w:r>
        <w:t xml:space="preserve">. W drugim dniu – spotkanie z ekspertami i analiza praktyk jest odpłatny. Posiadamy kilka bezpłatnych miejsc zagwarantowanych przez sponsorów – w przypadku zainteresowania udziałem w 2 dniu lub otrzymaniem zaświadczenia ze szkolenia w 1 dniu prosimy o bezpośredni kontakt  </w:t>
      </w:r>
      <w:hyperlink r:id="rId5" w:history="1">
        <w:r w:rsidRPr="009729E2">
          <w:rPr>
            <w:rStyle w:val="Hipercze"/>
          </w:rPr>
          <w:t>kulczycka@meeri.pl</w:t>
        </w:r>
      </w:hyperlink>
      <w:r>
        <w:t xml:space="preserve"> (ilość miejsc ograniczona).</w:t>
      </w:r>
    </w:p>
    <w:p w14:paraId="04BD6C59" w14:textId="77777777" w:rsidR="00C9705D" w:rsidRDefault="00C9705D" w:rsidP="006C093C">
      <w:pPr>
        <w:pStyle w:val="NormalnyWeb"/>
        <w:spacing w:before="0" w:beforeAutospacing="0" w:after="0" w:afterAutospacing="0"/>
        <w:ind w:left="708"/>
        <w:jc w:val="both"/>
      </w:pPr>
    </w:p>
    <w:p w14:paraId="012E462F" w14:textId="73B82709" w:rsidR="002C3A33" w:rsidRDefault="002C3A33" w:rsidP="00D3450C">
      <w:pPr>
        <w:pStyle w:val="NormalnyWeb"/>
        <w:spacing w:before="0" w:beforeAutospacing="0" w:after="0" w:afterAutospacing="0"/>
        <w:jc w:val="both"/>
      </w:pPr>
      <w:r>
        <w:t>Wydarzenie stanowi okazję do zdobycia praktycznej wiedzy na temat roli społecznej akceptacji dla realizacji projektów, ze szczególnym uwzględnieniem angażowania interesariuszy, wyzwań regulacyjnych oraz budowania zaufania społecznego w procesie przygotowania i wdrażania przedsięwzięć.</w:t>
      </w:r>
      <w:r w:rsidR="00C9705D">
        <w:t xml:space="preserve"> </w:t>
      </w:r>
      <w:r>
        <w:t>Program obejmuje dwie interaktywne sesje online, podczas których uczestnicy zapoznają się z podstawami koncepcji SLO, europejskim kontekstem ładu zarządczego i ESG, metodami mapowania interesariuszy, a także przykładami dobrych praktyk i rzeczywistymi studiami przypadków. Przedstawione zostaną również praktyczne narzędzia wspierające skuteczną komunikację oraz dialog z otoczeniem społecznym.</w:t>
      </w:r>
    </w:p>
    <w:p w14:paraId="2F377DE6" w14:textId="7ABE7FD3" w:rsidR="002C3A33" w:rsidRDefault="002C3A33" w:rsidP="006C093C">
      <w:pPr>
        <w:pStyle w:val="NormalnyWeb"/>
        <w:spacing w:before="0" w:beforeAutospacing="0" w:after="0" w:afterAutospacing="0"/>
        <w:ind w:left="708"/>
      </w:pPr>
    </w:p>
    <w:p w14:paraId="7EE5B0B9" w14:textId="77777777" w:rsidR="002C3A33" w:rsidRDefault="002C3A33" w:rsidP="00D3450C">
      <w:pPr>
        <w:pStyle w:val="NormalnyWeb"/>
        <w:spacing w:before="0" w:beforeAutospacing="0" w:after="0" w:afterAutospacing="0"/>
      </w:pPr>
      <w:r>
        <w:t>Rejestracja jest już otwarta.</w:t>
      </w:r>
    </w:p>
    <w:p w14:paraId="4CB9B70C" w14:textId="77777777" w:rsidR="00A846C8" w:rsidRDefault="003B74B9" w:rsidP="006C093C">
      <w:pPr>
        <w:pStyle w:val="NormalnyWeb"/>
        <w:spacing w:before="0" w:beforeAutospacing="0" w:after="0" w:afterAutospacing="0"/>
        <w:ind w:left="708"/>
      </w:pPr>
      <w:hyperlink r:id="rId6" w:history="1">
        <w:r w:rsidR="00A846C8" w:rsidRPr="00CF75BE">
          <w:rPr>
            <w:rStyle w:val="Hipercze"/>
          </w:rPr>
          <w:t>https://link.webropolsurveys.com/EventParticipation/EventPublic/a704a442-32b6-4830-bcda-b4000705918b?displayId=Fin3642234</w:t>
        </w:r>
      </w:hyperlink>
    </w:p>
    <w:p w14:paraId="5B741F9A" w14:textId="77777777" w:rsidR="00C9705D" w:rsidRDefault="00C9705D" w:rsidP="006C093C">
      <w:pPr>
        <w:pStyle w:val="NormalnyWeb"/>
        <w:spacing w:before="0" w:beforeAutospacing="0" w:after="0" w:afterAutospacing="0"/>
        <w:ind w:left="708"/>
      </w:pPr>
    </w:p>
    <w:p w14:paraId="0BB01B5C" w14:textId="793AAFB8" w:rsidR="002C3A33" w:rsidRDefault="002C3A33" w:rsidP="006C093C">
      <w:pPr>
        <w:pStyle w:val="NormalnyWeb"/>
        <w:spacing w:before="0" w:beforeAutospacing="0" w:after="0" w:afterAutospacing="0"/>
        <w:ind w:left="708"/>
      </w:pPr>
      <w:r>
        <w:t xml:space="preserve">Wydarzenie organizowane jest w ramach projektu RM-SLO-PLUS-HUB, przy wsparciu EIT </w:t>
      </w:r>
      <w:proofErr w:type="spellStart"/>
      <w:r>
        <w:t>RawMaterials</w:t>
      </w:r>
      <w:proofErr w:type="spellEnd"/>
      <w:r>
        <w:t>.</w:t>
      </w:r>
    </w:p>
    <w:p w14:paraId="776C9591" w14:textId="77777777" w:rsidR="00C9705D" w:rsidRDefault="00C9705D" w:rsidP="00C9705D">
      <w:pPr>
        <w:pStyle w:val="NormalnyWeb"/>
        <w:spacing w:before="0" w:beforeAutospacing="0" w:after="0" w:afterAutospacing="0"/>
      </w:pPr>
    </w:p>
    <w:p w14:paraId="7E163D48" w14:textId="73B9CC4E" w:rsidR="00A846C8" w:rsidRDefault="00A846C8" w:rsidP="00C9705D">
      <w:pPr>
        <w:pStyle w:val="NormalnyWeb"/>
        <w:spacing w:before="0" w:beforeAutospacing="0" w:after="0" w:afterAutospacing="0"/>
      </w:pPr>
      <w:r>
        <w:t xml:space="preserve">Czekamy na Państwa zgłoszenia </w:t>
      </w:r>
      <w:r w:rsidR="00C9705D">
        <w:t xml:space="preserve">! Zapraszamy </w:t>
      </w:r>
    </w:p>
    <w:p w14:paraId="39DFB6A9" w14:textId="4F1C5B70" w:rsidR="00C9705D" w:rsidRDefault="00C9705D" w:rsidP="00C9705D">
      <w:pPr>
        <w:pStyle w:val="NormalnyWeb"/>
        <w:spacing w:before="0" w:beforeAutospacing="0" w:after="0" w:afterAutospacing="0"/>
      </w:pPr>
      <w:r>
        <w:t xml:space="preserve">Więcej informacji dr Olga Janikowska – </w:t>
      </w:r>
      <w:hyperlink r:id="rId7" w:history="1">
        <w:r w:rsidRPr="009729E2">
          <w:rPr>
            <w:rStyle w:val="Hipercze"/>
          </w:rPr>
          <w:t>olgajan@min-pan,krakow.pl</w:t>
        </w:r>
      </w:hyperlink>
      <w:r>
        <w:t xml:space="preserve"> </w:t>
      </w:r>
    </w:p>
    <w:p w14:paraId="363A0172" w14:textId="48C2F115" w:rsidR="00CA2602" w:rsidRDefault="00CA2602"/>
    <w:p w14:paraId="79A79635" w14:textId="2D3A5874" w:rsidR="003B74B9" w:rsidRDefault="003B74B9"/>
    <w:tbl>
      <w:tblPr>
        <w:tblStyle w:val="Tabela-Siatka"/>
        <w:tblpPr w:leftFromText="141" w:rightFromText="141" w:vertAnchor="page" w:horzAnchor="margin" w:tblpXSpec="center" w:tblpY="2733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3263"/>
        <w:gridCol w:w="4391"/>
      </w:tblGrid>
      <w:tr w:rsidR="003B74B9" w:rsidRPr="000A3697" w14:paraId="3E1F19F0" w14:textId="77777777" w:rsidTr="008D734E">
        <w:trPr>
          <w:trHeight w:val="505"/>
        </w:trPr>
        <w:tc>
          <w:tcPr>
            <w:tcW w:w="10910" w:type="dxa"/>
            <w:gridSpan w:val="3"/>
            <w:shd w:val="clear" w:color="auto" w:fill="A8D08D"/>
          </w:tcPr>
          <w:p w14:paraId="3091E3C7" w14:textId="77777777" w:rsidR="003B74B9" w:rsidRDefault="003B74B9" w:rsidP="008D734E">
            <w:pPr>
              <w:rPr>
                <w:rFonts w:ascii="Verdana" w:eastAsia="Calibri" w:hAnsi="Verdana" w:cs="Times New Roman"/>
                <w:b/>
                <w:bCs/>
                <w:lang w:val="en-GB"/>
              </w:rPr>
            </w:pPr>
          </w:p>
          <w:p w14:paraId="444FA2A3" w14:textId="6B658450" w:rsidR="003B74B9" w:rsidRPr="000A3697" w:rsidRDefault="003B74B9" w:rsidP="008D734E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3B74B9" w:rsidRPr="000A3697" w14:paraId="611B0112" w14:textId="77777777" w:rsidTr="008D734E">
        <w:trPr>
          <w:trHeight w:val="306"/>
        </w:trPr>
        <w:tc>
          <w:tcPr>
            <w:tcW w:w="3256" w:type="dxa"/>
            <w:shd w:val="clear" w:color="auto" w:fill="A8D08D"/>
          </w:tcPr>
          <w:p w14:paraId="4A32D40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Lecture/Activity</w:t>
            </w:r>
          </w:p>
        </w:tc>
        <w:tc>
          <w:tcPr>
            <w:tcW w:w="3263" w:type="dxa"/>
            <w:shd w:val="clear" w:color="auto" w:fill="A8D08D"/>
          </w:tcPr>
          <w:p w14:paraId="1AFD8B4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 xml:space="preserve">Duration </w:t>
            </w:r>
          </w:p>
        </w:tc>
        <w:tc>
          <w:tcPr>
            <w:tcW w:w="4391" w:type="dxa"/>
            <w:shd w:val="clear" w:color="auto" w:fill="A8D08D"/>
          </w:tcPr>
          <w:p w14:paraId="0BD40D9D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Contributor(s)</w:t>
            </w:r>
          </w:p>
        </w:tc>
      </w:tr>
      <w:tr w:rsidR="003B74B9" w:rsidRPr="000A3697" w14:paraId="68E7176F" w14:textId="77777777" w:rsidTr="008D734E">
        <w:trPr>
          <w:trHeight w:val="543"/>
        </w:trPr>
        <w:tc>
          <w:tcPr>
            <w:tcW w:w="3256" w:type="dxa"/>
          </w:tcPr>
          <w:p w14:paraId="640502D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Welcome</w:t>
            </w:r>
          </w:p>
        </w:tc>
        <w:tc>
          <w:tcPr>
            <w:tcW w:w="3263" w:type="dxa"/>
          </w:tcPr>
          <w:p w14:paraId="2F4B53F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 xml:space="preserve">10.00-10.05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(5 mins)</w:t>
            </w:r>
          </w:p>
        </w:tc>
        <w:tc>
          <w:tcPr>
            <w:tcW w:w="4391" w:type="dxa"/>
          </w:tcPr>
          <w:p w14:paraId="77E009D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Prof. Dimitris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Damigos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(NTUA)</w:t>
            </w:r>
          </w:p>
        </w:tc>
      </w:tr>
      <w:tr w:rsidR="003B74B9" w:rsidRPr="000A3697" w14:paraId="7CADEB4A" w14:textId="77777777" w:rsidTr="008D734E">
        <w:trPr>
          <w:trHeight w:val="499"/>
        </w:trPr>
        <w:tc>
          <w:tcPr>
            <w:tcW w:w="3256" w:type="dxa"/>
          </w:tcPr>
          <w:p w14:paraId="047AE75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Introduction to SLO &amp; RM Lifecycle</w:t>
            </w:r>
          </w:p>
        </w:tc>
        <w:tc>
          <w:tcPr>
            <w:tcW w:w="3263" w:type="dxa"/>
          </w:tcPr>
          <w:p w14:paraId="7A0A1BFE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10.05-10.35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70E0D73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Prof. Michael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Tost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(MUL)</w:t>
            </w:r>
          </w:p>
        </w:tc>
      </w:tr>
      <w:tr w:rsidR="003B74B9" w:rsidRPr="003B74B9" w14:paraId="3CD742B4" w14:textId="77777777" w:rsidTr="008D734E">
        <w:trPr>
          <w:trHeight w:val="552"/>
        </w:trPr>
        <w:tc>
          <w:tcPr>
            <w:tcW w:w="3256" w:type="dxa"/>
          </w:tcPr>
          <w:p w14:paraId="372875A3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European SLO Barriers &amp; Governance Realities</w:t>
            </w:r>
          </w:p>
        </w:tc>
        <w:tc>
          <w:tcPr>
            <w:tcW w:w="3263" w:type="dxa"/>
          </w:tcPr>
          <w:p w14:paraId="2635BC84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10.35-11.05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768DE6AC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Dr. Juan Herrera Herbert (UPM)</w:t>
            </w:r>
          </w:p>
        </w:tc>
      </w:tr>
      <w:tr w:rsidR="003B74B9" w:rsidRPr="003B74B9" w14:paraId="51BB952C" w14:textId="77777777" w:rsidTr="008D734E">
        <w:trPr>
          <w:trHeight w:val="445"/>
        </w:trPr>
        <w:tc>
          <w:tcPr>
            <w:tcW w:w="10910" w:type="dxa"/>
            <w:gridSpan w:val="3"/>
          </w:tcPr>
          <w:p w14:paraId="2926D4B9" w14:textId="77777777" w:rsidR="003B74B9" w:rsidRPr="000A3697" w:rsidRDefault="003B74B9" w:rsidP="008D734E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             B R E A K              </w:t>
            </w: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11.05-11.15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(10 mins)</w:t>
            </w:r>
          </w:p>
        </w:tc>
      </w:tr>
      <w:tr w:rsidR="003B74B9" w:rsidRPr="000A3697" w14:paraId="6F1F1273" w14:textId="77777777" w:rsidTr="008D734E">
        <w:trPr>
          <w:trHeight w:val="552"/>
        </w:trPr>
        <w:tc>
          <w:tcPr>
            <w:tcW w:w="3256" w:type="dxa"/>
          </w:tcPr>
          <w:p w14:paraId="24569C44" w14:textId="77777777" w:rsidR="003B74B9" w:rsidRPr="000A3697" w:rsidRDefault="003B74B9" w:rsidP="008D734E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European Good Practices &amp; Lessons Learned</w:t>
            </w:r>
          </w:p>
        </w:tc>
        <w:tc>
          <w:tcPr>
            <w:tcW w:w="3263" w:type="dxa"/>
          </w:tcPr>
          <w:p w14:paraId="29B5AA08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11.15-11.45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3948B9C4" w14:textId="77777777" w:rsidR="003B74B9" w:rsidRPr="000A3697" w:rsidRDefault="003B74B9" w:rsidP="008D734E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Prof. Michael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Tost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(MUL)</w:t>
            </w:r>
          </w:p>
          <w:p w14:paraId="360B6B45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</w:tc>
      </w:tr>
      <w:tr w:rsidR="003B74B9" w:rsidRPr="000A3697" w14:paraId="6A733DA6" w14:textId="77777777" w:rsidTr="008D734E">
        <w:trPr>
          <w:trHeight w:val="552"/>
        </w:trPr>
        <w:tc>
          <w:tcPr>
            <w:tcW w:w="3256" w:type="dxa"/>
          </w:tcPr>
          <w:p w14:paraId="1613C48F" w14:textId="77777777" w:rsidR="003B74B9" w:rsidRPr="000A3697" w:rsidRDefault="003B74B9" w:rsidP="008D734E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Regulatory &amp; ESG Context</w:t>
            </w:r>
          </w:p>
        </w:tc>
        <w:tc>
          <w:tcPr>
            <w:tcW w:w="3263" w:type="dxa"/>
          </w:tcPr>
          <w:p w14:paraId="0F68625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 xml:space="preserve">11.45-12.15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32907207" w14:textId="77777777" w:rsidR="003B74B9" w:rsidRPr="00521741" w:rsidRDefault="003B74B9" w:rsidP="008D734E">
            <w:pPr>
              <w:rPr>
                <w:rFonts w:ascii="Verdana" w:eastAsia="Calibri" w:hAnsi="Verdana" w:cs="Times New Roman"/>
                <w:color w:val="000000"/>
                <w:lang w:val="pl-PL"/>
              </w:rPr>
            </w:pPr>
            <w:proofErr w:type="spellStart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>Prof</w:t>
            </w:r>
            <w:proofErr w:type="spellEnd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 xml:space="preserve"> </w:t>
            </w:r>
            <w:proofErr w:type="spellStart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>Emer</w:t>
            </w:r>
            <w:proofErr w:type="spellEnd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>. Katerina Adam (NTUA)</w:t>
            </w:r>
          </w:p>
        </w:tc>
      </w:tr>
      <w:tr w:rsidR="003B74B9" w:rsidRPr="000A3697" w14:paraId="61FE0A74" w14:textId="77777777" w:rsidTr="008D734E">
        <w:trPr>
          <w:trHeight w:val="552"/>
        </w:trPr>
        <w:tc>
          <w:tcPr>
            <w:tcW w:w="3256" w:type="dxa"/>
          </w:tcPr>
          <w:p w14:paraId="6210F19A" w14:textId="77777777" w:rsidR="003B74B9" w:rsidRPr="000A3697" w:rsidRDefault="003B74B9" w:rsidP="008D734E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Stakeholder Mapping &amp; Conflict Dynamics</w:t>
            </w:r>
          </w:p>
        </w:tc>
        <w:tc>
          <w:tcPr>
            <w:tcW w:w="3263" w:type="dxa"/>
          </w:tcPr>
          <w:p w14:paraId="3F119B27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12.15-12.35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(20 mins)</w:t>
            </w:r>
          </w:p>
        </w:tc>
        <w:tc>
          <w:tcPr>
            <w:tcW w:w="4391" w:type="dxa"/>
          </w:tcPr>
          <w:p w14:paraId="217A0AD3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Prof. Joanna Kulczycka (MEERI)</w:t>
            </w:r>
          </w:p>
        </w:tc>
      </w:tr>
      <w:tr w:rsidR="003B74B9" w:rsidRPr="000A3697" w14:paraId="31BC98C0" w14:textId="77777777" w:rsidTr="008D734E">
        <w:trPr>
          <w:trHeight w:val="476"/>
        </w:trPr>
        <w:tc>
          <w:tcPr>
            <w:tcW w:w="3256" w:type="dxa"/>
          </w:tcPr>
          <w:p w14:paraId="69E4011E" w14:textId="77777777" w:rsidR="003B74B9" w:rsidRPr="000A3697" w:rsidRDefault="003B74B9" w:rsidP="008D734E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</w:rPr>
              <w:t>Wrap-Up</w:t>
            </w:r>
          </w:p>
        </w:tc>
        <w:tc>
          <w:tcPr>
            <w:tcW w:w="3263" w:type="dxa"/>
          </w:tcPr>
          <w:p w14:paraId="6B0BDB33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</w:rPr>
              <w:t>12.35-12.40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</w:rPr>
              <w:t xml:space="preserve">CET (5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</w:rPr>
              <w:t>mins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</w:rPr>
              <w:t>)</w:t>
            </w:r>
          </w:p>
        </w:tc>
        <w:tc>
          <w:tcPr>
            <w:tcW w:w="4391" w:type="dxa"/>
          </w:tcPr>
          <w:p w14:paraId="40E524A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</w:rPr>
              <w:t>NTUA</w:t>
            </w:r>
          </w:p>
        </w:tc>
      </w:tr>
    </w:tbl>
    <w:p w14:paraId="326034E1" w14:textId="7A83CAE6" w:rsidR="003B74B9" w:rsidRDefault="003B74B9" w:rsidP="003B74B9"/>
    <w:p w14:paraId="2D0BC0E2" w14:textId="77777777" w:rsidR="003B74B9" w:rsidRDefault="003B74B9">
      <w:r>
        <w:br w:type="page"/>
      </w:r>
    </w:p>
    <w:tbl>
      <w:tblPr>
        <w:tblStyle w:val="Tabela-Siatka"/>
        <w:tblpPr w:leftFromText="141" w:rightFromText="141" w:vertAnchor="page" w:horzAnchor="margin" w:tblpXSpec="center" w:tblpY="2644"/>
        <w:tblW w:w="11060" w:type="dxa"/>
        <w:tblLayout w:type="fixed"/>
        <w:tblLook w:val="04A0" w:firstRow="1" w:lastRow="0" w:firstColumn="1" w:lastColumn="0" w:noHBand="0" w:noVBand="1"/>
      </w:tblPr>
      <w:tblGrid>
        <w:gridCol w:w="3823"/>
        <w:gridCol w:w="3543"/>
        <w:gridCol w:w="3694"/>
      </w:tblGrid>
      <w:tr w:rsidR="003B74B9" w:rsidRPr="000A3697" w14:paraId="32564C5E" w14:textId="77777777" w:rsidTr="008D734E">
        <w:trPr>
          <w:trHeight w:val="140"/>
        </w:trPr>
        <w:tc>
          <w:tcPr>
            <w:tcW w:w="11060" w:type="dxa"/>
            <w:gridSpan w:val="3"/>
            <w:shd w:val="clear" w:color="auto" w:fill="8EAADB"/>
          </w:tcPr>
          <w:p w14:paraId="36F36429" w14:textId="77777777" w:rsidR="003B74B9" w:rsidRPr="000A3697" w:rsidRDefault="003B74B9" w:rsidP="008D734E">
            <w:pPr>
              <w:rPr>
                <w:rFonts w:ascii="Calibri" w:eastAsia="Calibri" w:hAnsi="Calibri" w:cs="Times New Roman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lang w:val="en-GB"/>
              </w:rPr>
              <w:lastRenderedPageBreak/>
              <w:t>Day 2 (2.5 hours) – Consultancy</w:t>
            </w:r>
          </w:p>
        </w:tc>
      </w:tr>
      <w:tr w:rsidR="003B74B9" w:rsidRPr="000A3697" w14:paraId="162FFBD2" w14:textId="77777777" w:rsidTr="008D734E">
        <w:trPr>
          <w:trHeight w:val="132"/>
        </w:trPr>
        <w:tc>
          <w:tcPr>
            <w:tcW w:w="3823" w:type="dxa"/>
            <w:shd w:val="clear" w:color="auto" w:fill="8EAADB"/>
          </w:tcPr>
          <w:p w14:paraId="33BC72F6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Lecture</w:t>
            </w:r>
          </w:p>
        </w:tc>
        <w:tc>
          <w:tcPr>
            <w:tcW w:w="3543" w:type="dxa"/>
            <w:shd w:val="clear" w:color="auto" w:fill="8EAADB"/>
          </w:tcPr>
          <w:p w14:paraId="5F9325C6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Duration</w:t>
            </w:r>
          </w:p>
        </w:tc>
        <w:tc>
          <w:tcPr>
            <w:tcW w:w="3694" w:type="dxa"/>
            <w:shd w:val="clear" w:color="auto" w:fill="8EAADB"/>
          </w:tcPr>
          <w:p w14:paraId="2B1D180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Contributor(s)</w:t>
            </w:r>
          </w:p>
        </w:tc>
      </w:tr>
      <w:tr w:rsidR="003B74B9" w:rsidRPr="000A3697" w14:paraId="5CA71FD8" w14:textId="77777777" w:rsidTr="008D734E">
        <w:trPr>
          <w:trHeight w:val="422"/>
        </w:trPr>
        <w:tc>
          <w:tcPr>
            <w:tcW w:w="3823" w:type="dxa"/>
          </w:tcPr>
          <w:p w14:paraId="49DC660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SLO welcoming lecture case studies</w:t>
            </w:r>
          </w:p>
        </w:tc>
        <w:tc>
          <w:tcPr>
            <w:tcW w:w="3543" w:type="dxa"/>
          </w:tcPr>
          <w:p w14:paraId="27420F7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10.00-10.05 CET (5 mins)</w:t>
            </w:r>
          </w:p>
        </w:tc>
        <w:tc>
          <w:tcPr>
            <w:tcW w:w="3694" w:type="dxa"/>
          </w:tcPr>
          <w:p w14:paraId="2C58905E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Prof. Joanna Kulczycka (MEERI)</w:t>
            </w:r>
          </w:p>
        </w:tc>
      </w:tr>
      <w:tr w:rsidR="003B74B9" w:rsidRPr="003B74B9" w14:paraId="2A356E07" w14:textId="77777777" w:rsidTr="008D734E">
        <w:trPr>
          <w:trHeight w:val="422"/>
        </w:trPr>
        <w:tc>
          <w:tcPr>
            <w:tcW w:w="3823" w:type="dxa"/>
          </w:tcPr>
          <w:p w14:paraId="127D761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Stakeholder action sprint: facilitated discussion forum</w:t>
            </w:r>
          </w:p>
        </w:tc>
        <w:tc>
          <w:tcPr>
            <w:tcW w:w="3543" w:type="dxa"/>
          </w:tcPr>
          <w:p w14:paraId="7227206C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10.05-10.35 CET (30 mins)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ab/>
            </w:r>
          </w:p>
        </w:tc>
        <w:tc>
          <w:tcPr>
            <w:tcW w:w="3694" w:type="dxa"/>
          </w:tcPr>
          <w:p w14:paraId="6213BC8E" w14:textId="77777777" w:rsidR="003B74B9" w:rsidRPr="00681E85" w:rsidRDefault="003B74B9" w:rsidP="008D734E">
            <w:pPr>
              <w:rPr>
                <w:rFonts w:ascii="Verdana" w:eastAsia="Calibri" w:hAnsi="Verdana" w:cs="Times New Roman"/>
                <w:color w:val="000000"/>
                <w:highlight w:val="yellow"/>
                <w:lang w:val="it-IT"/>
              </w:rPr>
            </w:pPr>
            <w:r w:rsidRPr="00681E85">
              <w:rPr>
                <w:rFonts w:ascii="Verdana" w:eastAsia="Calibri" w:hAnsi="Verdana" w:cs="Times New Roman"/>
                <w:color w:val="000000"/>
                <w:lang w:val="it-IT"/>
              </w:rPr>
              <w:t>María Loeck de Lapuerta (ANEFA)</w:t>
            </w:r>
          </w:p>
        </w:tc>
      </w:tr>
      <w:tr w:rsidR="003B74B9" w:rsidRPr="003B74B9" w14:paraId="040ABBCD" w14:textId="77777777" w:rsidTr="008D734E">
        <w:trPr>
          <w:trHeight w:val="613"/>
        </w:trPr>
        <w:tc>
          <w:tcPr>
            <w:tcW w:w="3823" w:type="dxa"/>
          </w:tcPr>
          <w:p w14:paraId="5ECABF3C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Stakeholder specific sessions</w:t>
            </w:r>
            <w:r>
              <w:rPr>
                <w:rFonts w:ascii="Verdana" w:eastAsia="Calibri" w:hAnsi="Verdana" w:cs="Times New Roman"/>
                <w:color w:val="000000"/>
                <w:lang w:val="en-GB"/>
              </w:rPr>
              <w:t>:</w:t>
            </w:r>
          </w:p>
          <w:p w14:paraId="23173F95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Session 1: </w:t>
            </w:r>
            <w:r w:rsidRPr="000A3697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Building trust through public consultation</w:t>
            </w:r>
          </w:p>
          <w:p w14:paraId="4DEF085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  <w:p w14:paraId="66203AA3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Session 2: Synergy of Mining with Added-value Contemporary Material Industry as a SLO Path</w:t>
            </w:r>
          </w:p>
        </w:tc>
        <w:tc>
          <w:tcPr>
            <w:tcW w:w="3543" w:type="dxa"/>
          </w:tcPr>
          <w:p w14:paraId="7D76662A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10.35-11.30 CET (55 mins) </w:t>
            </w:r>
          </w:p>
        </w:tc>
        <w:tc>
          <w:tcPr>
            <w:tcW w:w="3694" w:type="dxa"/>
          </w:tcPr>
          <w:p w14:paraId="423A4920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Dr.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 Eleni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Triantafyllopoulou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 and Stella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Banou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 (PASECO)</w:t>
            </w:r>
          </w:p>
          <w:p w14:paraId="511431CE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  <w:p w14:paraId="0EC79C3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US"/>
              </w:rPr>
            </w:pPr>
          </w:p>
          <w:p w14:paraId="1AC14898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Suzana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Gotovac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Atlagic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(UNIBL)</w:t>
            </w:r>
          </w:p>
        </w:tc>
      </w:tr>
      <w:tr w:rsidR="003B74B9" w:rsidRPr="000A3697" w14:paraId="073E4602" w14:textId="77777777" w:rsidTr="008D734E">
        <w:trPr>
          <w:trHeight w:val="423"/>
        </w:trPr>
        <w:tc>
          <w:tcPr>
            <w:tcW w:w="11060" w:type="dxa"/>
            <w:gridSpan w:val="3"/>
          </w:tcPr>
          <w:p w14:paraId="2AD34D03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                     B R E A K              </w:t>
            </w:r>
            <w:r>
              <w:rPr>
                <w:rFonts w:ascii="Verdana" w:eastAsia="Calibri" w:hAnsi="Verdana" w:cs="Times New Roman"/>
                <w:color w:val="000000"/>
                <w:lang w:val="en-GB"/>
              </w:rPr>
              <w:t xml:space="preserve"> 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11.30-11.40 (10 mins)</w:t>
            </w:r>
          </w:p>
        </w:tc>
      </w:tr>
      <w:tr w:rsidR="003B74B9" w:rsidRPr="003B74B9" w14:paraId="23B4BF1D" w14:textId="77777777" w:rsidTr="008D734E">
        <w:trPr>
          <w:trHeight w:val="632"/>
        </w:trPr>
        <w:tc>
          <w:tcPr>
            <w:tcW w:w="3823" w:type="dxa"/>
          </w:tcPr>
          <w:p w14:paraId="7B106D00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Plenary debrief on stakeholder specific sessions</w:t>
            </w:r>
          </w:p>
        </w:tc>
        <w:tc>
          <w:tcPr>
            <w:tcW w:w="3543" w:type="dxa"/>
          </w:tcPr>
          <w:p w14:paraId="403294A2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11.40-11.50 (10 mins)</w:t>
            </w:r>
          </w:p>
        </w:tc>
        <w:tc>
          <w:tcPr>
            <w:tcW w:w="3694" w:type="dxa"/>
          </w:tcPr>
          <w:p w14:paraId="6F7CD999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Eleni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Triantafyllopoulou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Times New Roman"/>
                <w:lang w:val="en-GB"/>
              </w:rPr>
              <w:t>and</w:t>
            </w: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Stella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Banou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(PASECO)</w:t>
            </w:r>
            <w:r>
              <w:rPr>
                <w:rFonts w:ascii="Verdana" w:eastAsia="Calibri" w:hAnsi="Verdana" w:cs="Times New Roman"/>
                <w:color w:val="000000"/>
                <w:lang w:val="en-US"/>
              </w:rPr>
              <w:t xml:space="preserve">, </w:t>
            </w: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Suzana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Gotovac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Atlagic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(UNIBL)</w:t>
            </w:r>
          </w:p>
        </w:tc>
      </w:tr>
      <w:tr w:rsidR="003B74B9" w:rsidRPr="000A3697" w14:paraId="58B59B32" w14:textId="77777777" w:rsidTr="008D734E">
        <w:trPr>
          <w:trHeight w:val="365"/>
        </w:trPr>
        <w:tc>
          <w:tcPr>
            <w:tcW w:w="3823" w:type="dxa"/>
          </w:tcPr>
          <w:p w14:paraId="6814912D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Practises from industry: Case examples and a word from our sponsors</w:t>
            </w:r>
          </w:p>
        </w:tc>
        <w:tc>
          <w:tcPr>
            <w:tcW w:w="3543" w:type="dxa"/>
          </w:tcPr>
          <w:p w14:paraId="78125CC9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11.50-12.00 (10 mins)</w:t>
            </w:r>
          </w:p>
        </w:tc>
        <w:tc>
          <w:tcPr>
            <w:tcW w:w="3694" w:type="dxa"/>
          </w:tcPr>
          <w:p w14:paraId="737E8B5E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Sponsors</w:t>
            </w:r>
          </w:p>
        </w:tc>
      </w:tr>
      <w:tr w:rsidR="003B74B9" w:rsidRPr="000A3697" w14:paraId="6C386228" w14:textId="77777777" w:rsidTr="008D734E">
        <w:trPr>
          <w:trHeight w:val="383"/>
        </w:trPr>
        <w:tc>
          <w:tcPr>
            <w:tcW w:w="3823" w:type="dxa"/>
          </w:tcPr>
          <w:p w14:paraId="4A0FA55B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SLO communication toolkit</w:t>
            </w:r>
          </w:p>
        </w:tc>
        <w:tc>
          <w:tcPr>
            <w:tcW w:w="3543" w:type="dxa"/>
          </w:tcPr>
          <w:p w14:paraId="554765E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12.00-12.30 (30 mins)</w:t>
            </w:r>
          </w:p>
        </w:tc>
        <w:tc>
          <w:tcPr>
            <w:tcW w:w="3694" w:type="dxa"/>
          </w:tcPr>
          <w:p w14:paraId="2F1C5011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Alicia Garcia (ISMC)</w:t>
            </w:r>
          </w:p>
        </w:tc>
      </w:tr>
      <w:tr w:rsidR="003B74B9" w:rsidRPr="000A3697" w14:paraId="662FBD11" w14:textId="77777777" w:rsidTr="008D734E">
        <w:trPr>
          <w:trHeight w:val="417"/>
        </w:trPr>
        <w:tc>
          <w:tcPr>
            <w:tcW w:w="3823" w:type="dxa"/>
          </w:tcPr>
          <w:p w14:paraId="4A1A8B65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Wrap up and closing words</w:t>
            </w:r>
          </w:p>
        </w:tc>
        <w:tc>
          <w:tcPr>
            <w:tcW w:w="3543" w:type="dxa"/>
          </w:tcPr>
          <w:p w14:paraId="77628D10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12.30- 12.35 (5 mins)</w:t>
            </w:r>
          </w:p>
        </w:tc>
        <w:tc>
          <w:tcPr>
            <w:tcW w:w="3694" w:type="dxa"/>
          </w:tcPr>
          <w:p w14:paraId="1ACA83D2" w14:textId="77777777" w:rsidR="003B74B9" w:rsidRPr="000A3697" w:rsidRDefault="003B74B9" w:rsidP="008D734E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MEERI - NTUA</w:t>
            </w:r>
          </w:p>
        </w:tc>
      </w:tr>
    </w:tbl>
    <w:p w14:paraId="7876A423" w14:textId="77777777" w:rsidR="003B74B9" w:rsidRDefault="003B74B9" w:rsidP="003B74B9"/>
    <w:sectPr w:rsidR="003B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9F"/>
    <w:rsid w:val="00112F9F"/>
    <w:rsid w:val="002C3A33"/>
    <w:rsid w:val="003B74B9"/>
    <w:rsid w:val="004D17DB"/>
    <w:rsid w:val="006C093C"/>
    <w:rsid w:val="00A846C8"/>
    <w:rsid w:val="00C9705D"/>
    <w:rsid w:val="00CA2602"/>
    <w:rsid w:val="00D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2F6D"/>
  <w15:chartTrackingRefBased/>
  <w15:docId w15:val="{A90788D2-EA61-4DAB-AC91-A3DD5AC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C3A33"/>
    <w:rPr>
      <w:i/>
      <w:iCs/>
    </w:rPr>
  </w:style>
  <w:style w:type="character" w:styleId="Pogrubienie">
    <w:name w:val="Strong"/>
    <w:basedOn w:val="Domylnaczcionkaakapitu"/>
    <w:uiPriority w:val="22"/>
    <w:qFormat/>
    <w:rsid w:val="002C3A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46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6C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74B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gajan@min-pan,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webropolsurveys.com/EventParticipation/EventPublic/a704a442-32b6-4830-bcda-b4000705918b?displayId=Fin3642234" TargetMode="External"/><Relationship Id="rId5" Type="http://schemas.openxmlformats.org/officeDocument/2006/relationships/hyperlink" Target="mailto:kulczycka@meeri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3388</Characters>
  <Application>Microsoft Office Word</Application>
  <DocSecurity>0</DocSecurity>
  <Lines>63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igsmie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Janikowska</dc:creator>
  <cp:keywords/>
  <dc:description/>
  <cp:lastModifiedBy>Joanna Kulczycka</cp:lastModifiedBy>
  <cp:revision>2</cp:revision>
  <dcterms:created xsi:type="dcterms:W3CDTF">2026-05-16T08:15:00Z</dcterms:created>
  <dcterms:modified xsi:type="dcterms:W3CDTF">2026-05-16T08:15:00Z</dcterms:modified>
</cp:coreProperties>
</file>