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42" w:rsidRPr="00D226E6" w:rsidRDefault="00191F7D" w:rsidP="00DF2E42">
      <w:pPr>
        <w:pStyle w:val="Cytat"/>
        <w:rPr>
          <w:rStyle w:val="Uwydatnienie"/>
          <w:b/>
        </w:rPr>
      </w:pPr>
      <w:bookmarkStart w:id="0" w:name="_GoBack"/>
      <w:bookmarkEnd w:id="0"/>
      <w:r w:rsidRPr="00D226E6">
        <w:rPr>
          <w:rStyle w:val="Uwydatnienie"/>
          <w:b/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290830</wp:posOffset>
            </wp:positionV>
            <wp:extent cx="4904740" cy="761365"/>
            <wp:effectExtent l="0" t="0" r="0" b="0"/>
            <wp:wrapTopAndBottom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761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9F9" w:rsidRDefault="008E19F9" w:rsidP="000F1733">
      <w:pPr>
        <w:spacing w:before="2280" w:line="240" w:lineRule="auto"/>
        <w:ind w:right="-13"/>
        <w:jc w:val="center"/>
        <w:rPr>
          <w:b/>
          <w:color w:val="632423"/>
          <w:sz w:val="32"/>
        </w:rPr>
      </w:pPr>
      <w:r>
        <w:rPr>
          <w:b/>
          <w:color w:val="632423"/>
          <w:sz w:val="32"/>
        </w:rPr>
        <w:t xml:space="preserve">PROCEDURA </w:t>
      </w:r>
    </w:p>
    <w:p w:rsidR="00DF2E42" w:rsidRPr="00D226E6" w:rsidRDefault="006318D0" w:rsidP="0088478B">
      <w:pPr>
        <w:spacing w:after="6000" w:line="240" w:lineRule="auto"/>
        <w:ind w:right="-13"/>
        <w:jc w:val="center"/>
      </w:pPr>
      <w:r>
        <w:rPr>
          <w:b/>
          <w:color w:val="632423"/>
          <w:sz w:val="32"/>
        </w:rPr>
        <w:t>OKREŚLAJĄCA ZASADY I WARUNKI PODNOSZENIA KWALIFIKACJI ZAWODOWYCH PRACOWNIKÓW POLITECHNIKI WROCŁAWSKIEJ</w:t>
      </w:r>
    </w:p>
    <w:p w:rsidR="006167D8" w:rsidRPr="00235B3A" w:rsidRDefault="00ED7C34" w:rsidP="00860FF0">
      <w:pPr>
        <w:spacing w:after="0" w:line="360" w:lineRule="auto"/>
        <w:rPr>
          <w:lang w:eastAsia="pl-PL"/>
        </w:rPr>
      </w:pPr>
      <w:r>
        <w:rPr>
          <w:lang w:eastAsia="pl-PL"/>
        </w:rPr>
        <w:br w:type="page"/>
      </w:r>
    </w:p>
    <w:p w:rsidR="008E19F9" w:rsidRPr="008E19F9" w:rsidRDefault="008E19F9" w:rsidP="008E19F9">
      <w:pPr>
        <w:spacing w:after="0" w:line="0" w:lineRule="atLeast"/>
        <w:ind w:right="20"/>
        <w:jc w:val="center"/>
        <w:rPr>
          <w:rFonts w:cs="Arial"/>
          <w:b/>
          <w:color w:val="632423"/>
          <w:szCs w:val="20"/>
          <w:lang w:eastAsia="pl-PL"/>
        </w:rPr>
      </w:pPr>
      <w:r w:rsidRPr="008E19F9">
        <w:rPr>
          <w:rFonts w:cs="Arial"/>
          <w:b/>
          <w:color w:val="632423"/>
          <w:szCs w:val="20"/>
          <w:lang w:eastAsia="pl-PL"/>
        </w:rPr>
        <w:lastRenderedPageBreak/>
        <w:t>SPIS TREŚCI</w:t>
      </w:r>
    </w:p>
    <w:p w:rsidR="008E19F9" w:rsidRPr="008E19F9" w:rsidRDefault="008E19F9" w:rsidP="008E19F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E19F9" w:rsidRPr="008E19F9" w:rsidRDefault="008E19F9" w:rsidP="008E19F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E19F9" w:rsidRPr="008E19F9" w:rsidRDefault="008E19F9" w:rsidP="008E19F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E19F9" w:rsidRPr="008E19F9" w:rsidRDefault="008E19F9" w:rsidP="008E19F9">
      <w:pPr>
        <w:spacing w:after="0" w:line="37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E19F9" w:rsidRPr="007F5EA5" w:rsidRDefault="000F666E" w:rsidP="007F5EA5">
      <w:pPr>
        <w:tabs>
          <w:tab w:val="left" w:leader="dot" w:pos="8920"/>
        </w:tabs>
        <w:spacing w:after="0"/>
        <w:ind w:left="680"/>
        <w:rPr>
          <w:rFonts w:cs="Arial"/>
          <w:lang w:eastAsia="pl-PL"/>
        </w:rPr>
      </w:pPr>
      <w:r>
        <w:rPr>
          <w:rFonts w:cs="Arial"/>
          <w:lang w:eastAsia="pl-PL"/>
        </w:rPr>
        <w:t xml:space="preserve">CEL </w:t>
      </w:r>
      <w:r w:rsidR="008E19F9" w:rsidRPr="007F5EA5">
        <w:rPr>
          <w:rFonts w:cs="Arial"/>
          <w:lang w:eastAsia="pl-PL"/>
        </w:rPr>
        <w:t>STOSOWANIA PROCEDURY</w:t>
      </w:r>
      <w:r w:rsidR="008E19F9" w:rsidRPr="007F5EA5">
        <w:rPr>
          <w:rFonts w:ascii="Times New Roman" w:eastAsia="Times New Roman" w:hAnsi="Times New Roman" w:cs="Arial"/>
          <w:lang w:eastAsia="pl-PL"/>
        </w:rPr>
        <w:tab/>
      </w:r>
      <w:r w:rsidR="008E19F9" w:rsidRPr="007F5EA5">
        <w:rPr>
          <w:rFonts w:cs="Arial"/>
          <w:lang w:eastAsia="pl-PL"/>
        </w:rPr>
        <w:t>2</w:t>
      </w:r>
    </w:p>
    <w:p w:rsidR="008E19F9" w:rsidRPr="007F5EA5" w:rsidRDefault="008E19F9" w:rsidP="007F5EA5">
      <w:pPr>
        <w:spacing w:after="0"/>
        <w:rPr>
          <w:rFonts w:ascii="Times New Roman" w:eastAsia="Times New Roman" w:hAnsi="Times New Roman" w:cs="Arial"/>
          <w:lang w:eastAsia="pl-PL"/>
        </w:rPr>
      </w:pPr>
    </w:p>
    <w:p w:rsidR="008E19F9" w:rsidRPr="007F5EA5" w:rsidRDefault="008E19F9" w:rsidP="007F5EA5">
      <w:pPr>
        <w:tabs>
          <w:tab w:val="left" w:leader="dot" w:pos="8920"/>
        </w:tabs>
        <w:spacing w:after="0"/>
        <w:ind w:left="680"/>
        <w:rPr>
          <w:rFonts w:cs="Arial"/>
          <w:lang w:eastAsia="pl-PL"/>
        </w:rPr>
      </w:pPr>
      <w:r w:rsidRPr="007F5EA5">
        <w:rPr>
          <w:rFonts w:cs="Arial"/>
          <w:lang w:eastAsia="pl-PL"/>
        </w:rPr>
        <w:t>DEFINICJE</w:t>
      </w:r>
      <w:r w:rsidRPr="007F5EA5">
        <w:rPr>
          <w:rFonts w:ascii="Times New Roman" w:eastAsia="Times New Roman" w:hAnsi="Times New Roman" w:cs="Arial"/>
          <w:lang w:eastAsia="pl-PL"/>
        </w:rPr>
        <w:tab/>
      </w:r>
      <w:r w:rsidRPr="007F5EA5">
        <w:rPr>
          <w:rFonts w:cs="Arial"/>
          <w:lang w:eastAsia="pl-PL"/>
        </w:rPr>
        <w:t>2</w:t>
      </w:r>
    </w:p>
    <w:p w:rsidR="008E19F9" w:rsidRPr="007F5EA5" w:rsidRDefault="008E19F9" w:rsidP="007F5EA5">
      <w:pPr>
        <w:spacing w:after="0"/>
        <w:rPr>
          <w:rFonts w:ascii="Times New Roman" w:eastAsia="Times New Roman" w:hAnsi="Times New Roman" w:cs="Arial"/>
          <w:lang w:eastAsia="pl-PL"/>
        </w:rPr>
      </w:pPr>
    </w:p>
    <w:p w:rsidR="008E19F9" w:rsidRPr="007F5EA5" w:rsidRDefault="008E19F9" w:rsidP="007F5EA5">
      <w:pPr>
        <w:tabs>
          <w:tab w:val="left" w:leader="dot" w:pos="8920"/>
        </w:tabs>
        <w:spacing w:after="0"/>
        <w:ind w:left="680"/>
        <w:rPr>
          <w:rFonts w:cs="Arial"/>
          <w:lang w:eastAsia="pl-PL"/>
        </w:rPr>
      </w:pPr>
      <w:r w:rsidRPr="007F5EA5">
        <w:rPr>
          <w:rFonts w:cs="Arial"/>
          <w:lang w:eastAsia="pl-PL"/>
        </w:rPr>
        <w:t>ZAŁOŻENIA OGÓLNE</w:t>
      </w:r>
      <w:r w:rsidRPr="007F5EA5">
        <w:rPr>
          <w:rFonts w:ascii="Times New Roman" w:eastAsia="Times New Roman" w:hAnsi="Times New Roman" w:cs="Arial"/>
          <w:lang w:eastAsia="pl-PL"/>
        </w:rPr>
        <w:tab/>
      </w:r>
      <w:r w:rsidR="00701CAA" w:rsidRPr="007F5EA5">
        <w:rPr>
          <w:rFonts w:cs="Arial"/>
          <w:lang w:eastAsia="pl-PL"/>
        </w:rPr>
        <w:t>3</w:t>
      </w:r>
    </w:p>
    <w:p w:rsidR="008E19F9" w:rsidRPr="007F5EA5" w:rsidRDefault="008E19F9" w:rsidP="007F5EA5">
      <w:pPr>
        <w:spacing w:after="0"/>
        <w:rPr>
          <w:rFonts w:ascii="Times New Roman" w:eastAsia="Times New Roman" w:hAnsi="Times New Roman" w:cs="Arial"/>
          <w:lang w:eastAsia="pl-PL"/>
        </w:rPr>
      </w:pPr>
    </w:p>
    <w:p w:rsidR="008E19F9" w:rsidRPr="007F5EA5" w:rsidRDefault="00701CAA" w:rsidP="007F5EA5">
      <w:pPr>
        <w:tabs>
          <w:tab w:val="left" w:leader="dot" w:pos="8920"/>
        </w:tabs>
        <w:spacing w:after="0"/>
        <w:ind w:left="680"/>
        <w:rPr>
          <w:rFonts w:cs="Arial"/>
          <w:lang w:eastAsia="pl-PL"/>
        </w:rPr>
      </w:pPr>
      <w:r w:rsidRPr="007F5EA5">
        <w:rPr>
          <w:rFonts w:cs="Arial"/>
          <w:lang w:eastAsia="pl-PL"/>
        </w:rPr>
        <w:t>REJESTRACJA SZKOLEŃ</w:t>
      </w:r>
      <w:r w:rsidR="008E19F9" w:rsidRPr="007F5EA5">
        <w:rPr>
          <w:rFonts w:ascii="Times New Roman" w:eastAsia="Times New Roman" w:hAnsi="Times New Roman" w:cs="Arial"/>
          <w:lang w:eastAsia="pl-PL"/>
        </w:rPr>
        <w:tab/>
      </w:r>
      <w:r w:rsidR="00541718">
        <w:rPr>
          <w:rFonts w:cs="Arial"/>
          <w:lang w:eastAsia="pl-PL"/>
        </w:rPr>
        <w:t>4</w:t>
      </w:r>
    </w:p>
    <w:p w:rsidR="008E19F9" w:rsidRPr="007F5EA5" w:rsidRDefault="008E19F9" w:rsidP="007F5EA5">
      <w:pPr>
        <w:spacing w:after="0"/>
        <w:rPr>
          <w:rFonts w:ascii="Times New Roman" w:eastAsia="Times New Roman" w:hAnsi="Times New Roman" w:cs="Arial"/>
          <w:lang w:eastAsia="pl-PL"/>
        </w:rPr>
      </w:pPr>
    </w:p>
    <w:p w:rsidR="008E19F9" w:rsidRPr="007F5EA5" w:rsidRDefault="008E19F9" w:rsidP="007F5EA5">
      <w:pPr>
        <w:tabs>
          <w:tab w:val="left" w:leader="dot" w:pos="8920"/>
        </w:tabs>
        <w:spacing w:after="0"/>
        <w:ind w:left="680"/>
        <w:rPr>
          <w:rFonts w:cs="Arial"/>
          <w:lang w:eastAsia="pl-PL"/>
        </w:rPr>
      </w:pPr>
      <w:r w:rsidRPr="007F5EA5">
        <w:rPr>
          <w:rFonts w:cs="Arial"/>
          <w:lang w:eastAsia="pl-PL"/>
        </w:rPr>
        <w:t xml:space="preserve">REJESTRACJA DOFINANSOWANIA KSZTAŁCENIA </w:t>
      </w:r>
      <w:r w:rsidRPr="007F5EA5">
        <w:rPr>
          <w:rFonts w:ascii="Times New Roman" w:eastAsia="Times New Roman" w:hAnsi="Times New Roman" w:cs="Arial"/>
          <w:lang w:eastAsia="pl-PL"/>
        </w:rPr>
        <w:tab/>
      </w:r>
      <w:r w:rsidR="00541718">
        <w:rPr>
          <w:rFonts w:cs="Arial"/>
          <w:lang w:eastAsia="pl-PL"/>
        </w:rPr>
        <w:t>5</w:t>
      </w:r>
    </w:p>
    <w:p w:rsidR="008E19F9" w:rsidRPr="007F5EA5" w:rsidRDefault="008E19F9" w:rsidP="007F5EA5">
      <w:pPr>
        <w:spacing w:after="0"/>
        <w:rPr>
          <w:rFonts w:ascii="Times New Roman" w:eastAsia="Times New Roman" w:hAnsi="Times New Roman" w:cs="Arial"/>
          <w:lang w:eastAsia="pl-PL"/>
        </w:rPr>
      </w:pPr>
    </w:p>
    <w:p w:rsidR="00235B3A" w:rsidRPr="0088478B" w:rsidRDefault="008E19F9" w:rsidP="0088478B">
      <w:pPr>
        <w:tabs>
          <w:tab w:val="left" w:leader="dot" w:pos="8920"/>
        </w:tabs>
        <w:spacing w:after="0"/>
        <w:ind w:left="680"/>
        <w:rPr>
          <w:rFonts w:cs="Arial"/>
          <w:lang w:eastAsia="pl-PL"/>
        </w:rPr>
      </w:pPr>
      <w:r w:rsidRPr="007F5EA5">
        <w:rPr>
          <w:rFonts w:cs="Arial"/>
          <w:lang w:eastAsia="pl-PL"/>
        </w:rPr>
        <w:t>UMOWY LOJALNOŚCIOWE</w:t>
      </w:r>
      <w:r w:rsidRPr="00A530D3">
        <w:rPr>
          <w:rFonts w:ascii="Times New Roman" w:eastAsia="Times New Roman" w:hAnsi="Times New Roman" w:cs="Arial"/>
          <w:lang w:eastAsia="pl-PL"/>
        </w:rPr>
        <w:tab/>
      </w:r>
      <w:r w:rsidRPr="00A530D3">
        <w:rPr>
          <w:rFonts w:cs="Arial"/>
          <w:lang w:eastAsia="pl-PL"/>
        </w:rPr>
        <w:t>5</w:t>
      </w:r>
    </w:p>
    <w:p w:rsidR="00235B3A" w:rsidRPr="00D226E6" w:rsidRDefault="00ED7C34" w:rsidP="00F13B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726C" w:rsidRDefault="008E19F9" w:rsidP="008E726C">
      <w:pPr>
        <w:spacing w:line="0" w:lineRule="atLeast"/>
        <w:ind w:right="19"/>
        <w:jc w:val="center"/>
        <w:rPr>
          <w:color w:val="632423"/>
          <w:sz w:val="24"/>
        </w:rPr>
      </w:pPr>
      <w:r>
        <w:rPr>
          <w:color w:val="632423"/>
          <w:sz w:val="24"/>
        </w:rPr>
        <w:lastRenderedPageBreak/>
        <w:t>CE</w:t>
      </w:r>
      <w:r w:rsidR="00434DEB">
        <w:rPr>
          <w:color w:val="632423"/>
          <w:sz w:val="24"/>
        </w:rPr>
        <w:t>L  STOSOWANIA PROCEDURY</w:t>
      </w:r>
    </w:p>
    <w:p w:rsidR="008E19F9" w:rsidRPr="008E726C" w:rsidRDefault="004C2B52" w:rsidP="008E726C">
      <w:pPr>
        <w:spacing w:line="0" w:lineRule="atLeast"/>
        <w:ind w:right="19"/>
        <w:jc w:val="center"/>
        <w:rPr>
          <w:color w:val="632423"/>
          <w:sz w:val="24"/>
        </w:rPr>
      </w:pPr>
      <w:r>
        <w:t>§</w:t>
      </w:r>
      <w:r w:rsidR="008E726C">
        <w:t xml:space="preserve"> </w:t>
      </w:r>
      <w:r w:rsidR="008E19F9">
        <w:t>1</w:t>
      </w:r>
    </w:p>
    <w:p w:rsidR="00434DEB" w:rsidRDefault="00434DEB" w:rsidP="004C2B52">
      <w:pPr>
        <w:tabs>
          <w:tab w:val="left" w:pos="4561"/>
        </w:tabs>
        <w:spacing w:after="0" w:line="0" w:lineRule="atLeast"/>
        <w:ind w:left="576"/>
        <w:jc w:val="center"/>
      </w:pPr>
    </w:p>
    <w:p w:rsidR="002B56F2" w:rsidRDefault="008E19F9" w:rsidP="0044571B">
      <w:pPr>
        <w:numPr>
          <w:ilvl w:val="0"/>
          <w:numId w:val="14"/>
        </w:numPr>
        <w:tabs>
          <w:tab w:val="left" w:pos="421"/>
        </w:tabs>
        <w:spacing w:after="0" w:line="218" w:lineRule="auto"/>
        <w:jc w:val="both"/>
      </w:pPr>
      <w:r>
        <w:t>Celem niniejszej p</w:t>
      </w:r>
      <w:r w:rsidR="009A52B7">
        <w:t xml:space="preserve">rocedury jest określenie zasad </w:t>
      </w:r>
      <w:r w:rsidR="006318D0">
        <w:t xml:space="preserve">rejestracji </w:t>
      </w:r>
      <w:r>
        <w:t>szkoleń</w:t>
      </w:r>
      <w:r w:rsidR="00B67D22">
        <w:t xml:space="preserve">, </w:t>
      </w:r>
      <w:r>
        <w:t xml:space="preserve">dofinansowania kształcenia </w:t>
      </w:r>
      <w:r w:rsidR="00B67D22">
        <w:t>oraz organizacji szkoleń ogólnouczelnianych</w:t>
      </w:r>
      <w:r w:rsidR="001F4A5D">
        <w:t xml:space="preserve"> dla</w:t>
      </w:r>
      <w:r w:rsidR="00B67D22">
        <w:t xml:space="preserve"> </w:t>
      </w:r>
      <w:r>
        <w:t>pracowników Politechniki Wrocławskiej.</w:t>
      </w:r>
    </w:p>
    <w:p w:rsidR="008E19F9" w:rsidRDefault="008E19F9" w:rsidP="008E19F9">
      <w:pPr>
        <w:spacing w:line="293" w:lineRule="exact"/>
        <w:rPr>
          <w:rFonts w:ascii="Times New Roman" w:eastAsia="Times New Roman" w:hAnsi="Times New Roman"/>
        </w:rPr>
      </w:pPr>
    </w:p>
    <w:p w:rsidR="008E726C" w:rsidRDefault="00701CAA" w:rsidP="008E726C">
      <w:pPr>
        <w:spacing w:line="0" w:lineRule="atLeast"/>
        <w:jc w:val="center"/>
        <w:rPr>
          <w:color w:val="632423"/>
          <w:sz w:val="24"/>
        </w:rPr>
      </w:pPr>
      <w:r>
        <w:rPr>
          <w:color w:val="632423"/>
          <w:sz w:val="24"/>
        </w:rPr>
        <w:t>DEFINICJE</w:t>
      </w:r>
    </w:p>
    <w:p w:rsidR="008E19F9" w:rsidRPr="008E726C" w:rsidRDefault="008E19F9" w:rsidP="008E726C">
      <w:pPr>
        <w:spacing w:line="0" w:lineRule="atLeast"/>
        <w:jc w:val="center"/>
        <w:rPr>
          <w:color w:val="632423"/>
          <w:sz w:val="24"/>
        </w:rPr>
      </w:pPr>
      <w:r>
        <w:t>§ 2</w:t>
      </w:r>
    </w:p>
    <w:p w:rsidR="008E19F9" w:rsidRDefault="008E19F9" w:rsidP="008E19F9">
      <w:pPr>
        <w:spacing w:line="238" w:lineRule="exact"/>
        <w:rPr>
          <w:rFonts w:ascii="Times New Roman" w:eastAsia="Times New Roman" w:hAnsi="Times New Roman"/>
        </w:rPr>
      </w:pPr>
    </w:p>
    <w:p w:rsidR="008E19F9" w:rsidRPr="008E19F9" w:rsidRDefault="008E19F9" w:rsidP="00434DEB">
      <w:pPr>
        <w:spacing w:line="0" w:lineRule="atLeast"/>
        <w:ind w:left="1"/>
        <w:jc w:val="both"/>
      </w:pPr>
      <w:r>
        <w:t>Poprzez użyte w niniejszej procedurze określenia i skróty należy rozumieć:</w:t>
      </w:r>
    </w:p>
    <w:p w:rsidR="007A07D1" w:rsidRPr="008E19F9" w:rsidRDefault="007A07D1" w:rsidP="00434DEB">
      <w:pPr>
        <w:spacing w:line="225" w:lineRule="auto"/>
        <w:ind w:left="1"/>
        <w:jc w:val="both"/>
      </w:pPr>
      <w:r>
        <w:rPr>
          <w:b/>
        </w:rPr>
        <w:t xml:space="preserve">Centralny Budżet Szkoleń </w:t>
      </w:r>
      <w:r w:rsidR="009A52B7">
        <w:t xml:space="preserve">– budżet zarządzany przez </w:t>
      </w:r>
      <w:r>
        <w:t xml:space="preserve">Prorektora ds. </w:t>
      </w:r>
      <w:r w:rsidR="001F1B57">
        <w:t>Rozwoju i Integracji Wspólnoty</w:t>
      </w:r>
      <w:r>
        <w:t>, przeznaczony</w:t>
      </w:r>
      <w:r>
        <w:rPr>
          <w:b/>
        </w:rPr>
        <w:t xml:space="preserve"> </w:t>
      </w:r>
      <w:r>
        <w:t>na pokrycie kosztów związanych z organizacją szkoleń ogólnouczelnianych</w:t>
      </w:r>
      <w:r w:rsidR="00136E9E">
        <w:t>.</w:t>
      </w:r>
    </w:p>
    <w:p w:rsidR="007A07D1" w:rsidRDefault="007A07D1" w:rsidP="00434DEB">
      <w:pPr>
        <w:spacing w:line="0" w:lineRule="atLeast"/>
        <w:ind w:left="1"/>
        <w:jc w:val="both"/>
      </w:pPr>
      <w:r>
        <w:rPr>
          <w:b/>
        </w:rPr>
        <w:t xml:space="preserve">Centralny Rejestr Szkoleń </w:t>
      </w:r>
      <w:r>
        <w:t xml:space="preserve">– rejestr szkoleń pracowników Politechniki Wrocławskiej prowadzony  przez Dział Szkoleń i Rozwoju Wspólnoty, na podstawie otrzymanych wniosków. </w:t>
      </w:r>
    </w:p>
    <w:p w:rsidR="007A07D1" w:rsidRDefault="007A07D1" w:rsidP="00434DEB">
      <w:pPr>
        <w:spacing w:line="0" w:lineRule="atLeast"/>
        <w:ind w:left="1"/>
        <w:jc w:val="both"/>
      </w:pPr>
      <w:r>
        <w:rPr>
          <w:b/>
        </w:rPr>
        <w:t xml:space="preserve">DSR </w:t>
      </w:r>
      <w:r>
        <w:t>– Dział Szkoleń i Rozwoju Wspólnoty</w:t>
      </w:r>
      <w:r w:rsidR="00631E7B">
        <w:t>.</w:t>
      </w:r>
    </w:p>
    <w:p w:rsidR="007A07D1" w:rsidRDefault="007A07D1" w:rsidP="000F666E">
      <w:pPr>
        <w:spacing w:line="0" w:lineRule="atLeast"/>
        <w:ind w:left="1"/>
        <w:jc w:val="both"/>
      </w:pPr>
      <w:r>
        <w:rPr>
          <w:b/>
        </w:rPr>
        <w:t xml:space="preserve">Dysponent budżetu </w:t>
      </w:r>
      <w:r>
        <w:t>– osoba kierująca</w:t>
      </w:r>
      <w:r w:rsidR="000F666E">
        <w:t xml:space="preserve">, dysponująca budżetem w danej </w:t>
      </w:r>
      <w:r>
        <w:t>jednostce/komórce organizacyjnej, potwierdzająca na wniosku źródło finansowania i posiadanie środków na pokrycie kosztów szkolenia bądź kształcenia.</w:t>
      </w:r>
    </w:p>
    <w:p w:rsidR="007A07D1" w:rsidRPr="008E19F9" w:rsidRDefault="007A07D1" w:rsidP="00434DEB">
      <w:pPr>
        <w:spacing w:line="224" w:lineRule="auto"/>
        <w:ind w:left="1"/>
        <w:jc w:val="both"/>
      </w:pPr>
      <w:r>
        <w:rPr>
          <w:b/>
        </w:rPr>
        <w:t xml:space="preserve">Kształcenie </w:t>
      </w:r>
      <w:r>
        <w:t xml:space="preserve">– rozumiane jako udział w kursach językowych, studiach I </w:t>
      </w:r>
      <w:proofErr w:type="spellStart"/>
      <w:r>
        <w:t>i</w:t>
      </w:r>
      <w:proofErr w:type="spellEnd"/>
      <w:r>
        <w:t xml:space="preserve"> II stopnia, studiach podyplomowych, niezbędne do wykonywania pracy na danym stanowisku.</w:t>
      </w:r>
    </w:p>
    <w:p w:rsidR="007A07D1" w:rsidRDefault="007A07D1" w:rsidP="00434DEB">
      <w:pPr>
        <w:spacing w:line="0" w:lineRule="atLeast"/>
        <w:ind w:left="1"/>
        <w:jc w:val="both"/>
      </w:pPr>
      <w:r>
        <w:rPr>
          <w:b/>
        </w:rPr>
        <w:t xml:space="preserve">Pracownik </w:t>
      </w:r>
      <w:r>
        <w:t xml:space="preserve">– osoba zatrudniona </w:t>
      </w:r>
      <w:r w:rsidR="00E72D06">
        <w:t>na podstawie umowy o pracę.</w:t>
      </w:r>
    </w:p>
    <w:p w:rsidR="007A07D1" w:rsidRPr="00A05216" w:rsidRDefault="007A07D1" w:rsidP="00434DEB">
      <w:pPr>
        <w:spacing w:line="224" w:lineRule="auto"/>
        <w:ind w:left="1"/>
        <w:jc w:val="both"/>
      </w:pPr>
      <w:r>
        <w:rPr>
          <w:b/>
        </w:rPr>
        <w:t xml:space="preserve">Szkolenia </w:t>
      </w:r>
      <w:r>
        <w:t>–</w:t>
      </w:r>
      <w:r>
        <w:rPr>
          <w:b/>
        </w:rPr>
        <w:t xml:space="preserve"> </w:t>
      </w:r>
      <w:r>
        <w:t>kursy, seminaria, szkolenia, konferencje, webinaria, kongresy itp.</w:t>
      </w:r>
      <w:r>
        <w:rPr>
          <w:b/>
        </w:rPr>
        <w:t xml:space="preserve"> </w:t>
      </w:r>
      <w:r>
        <w:t>niezbędne</w:t>
      </w:r>
      <w:r>
        <w:rPr>
          <w:b/>
        </w:rPr>
        <w:t xml:space="preserve"> </w:t>
      </w:r>
      <w:r>
        <w:t>do</w:t>
      </w:r>
      <w:r>
        <w:rPr>
          <w:b/>
        </w:rPr>
        <w:t xml:space="preserve"> </w:t>
      </w:r>
      <w:r>
        <w:t>wykonywania pracy na danym stanowisku, mające na celu pogłębianie wiedzy i zdobywanie umiejętności.</w:t>
      </w:r>
    </w:p>
    <w:p w:rsidR="007A07D1" w:rsidRPr="008E19F9" w:rsidRDefault="007A07D1" w:rsidP="00434DEB">
      <w:pPr>
        <w:spacing w:line="225" w:lineRule="auto"/>
        <w:ind w:left="1"/>
        <w:jc w:val="both"/>
      </w:pPr>
      <w:r>
        <w:rPr>
          <w:b/>
        </w:rPr>
        <w:t xml:space="preserve">Szkolenia ogólnouczelniane </w:t>
      </w:r>
      <w:r>
        <w:t>–</w:t>
      </w:r>
      <w:r>
        <w:rPr>
          <w:b/>
        </w:rPr>
        <w:t xml:space="preserve"> </w:t>
      </w:r>
      <w:r>
        <w:t>szkolenia,</w:t>
      </w:r>
      <w:r>
        <w:rPr>
          <w:b/>
        </w:rPr>
        <w:t xml:space="preserve"> </w:t>
      </w:r>
      <w:r>
        <w:t>w których uczestniczą pracownicy więcej niż jednej</w:t>
      </w:r>
      <w:r>
        <w:rPr>
          <w:b/>
        </w:rPr>
        <w:t xml:space="preserve"> </w:t>
      </w:r>
      <w:r>
        <w:t>jednostki/komórki organizacyjnej, organizowane w siedzibie Politechniki Wrocławskiej lub poza nią, które mogą być finansowane z Centralnego Budżetu Szkoleń.</w:t>
      </w:r>
    </w:p>
    <w:p w:rsidR="008E19F9" w:rsidRDefault="00ED7C34" w:rsidP="008E19F9">
      <w:pPr>
        <w:spacing w:line="27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8E19F9" w:rsidRPr="008E19F9" w:rsidRDefault="008E19F9" w:rsidP="008E19F9">
      <w:pPr>
        <w:spacing w:line="0" w:lineRule="atLeast"/>
        <w:jc w:val="center"/>
        <w:rPr>
          <w:color w:val="632423"/>
          <w:sz w:val="24"/>
        </w:rPr>
      </w:pPr>
      <w:r>
        <w:rPr>
          <w:color w:val="632423"/>
          <w:sz w:val="24"/>
        </w:rPr>
        <w:lastRenderedPageBreak/>
        <w:t>ZAŁOŻENIA OGÓLNE</w:t>
      </w:r>
    </w:p>
    <w:p w:rsidR="008E19F9" w:rsidRDefault="004C2B52" w:rsidP="0088478B">
      <w:pPr>
        <w:tabs>
          <w:tab w:val="left" w:pos="4561"/>
        </w:tabs>
        <w:spacing w:after="240" w:line="0" w:lineRule="atLeast"/>
        <w:jc w:val="center"/>
      </w:pPr>
      <w:r>
        <w:t>§</w:t>
      </w:r>
      <w:r w:rsidR="008E726C">
        <w:t xml:space="preserve"> </w:t>
      </w:r>
      <w:r w:rsidR="008E19F9">
        <w:t>3</w:t>
      </w:r>
    </w:p>
    <w:p w:rsidR="0044571B" w:rsidRDefault="0044571B" w:rsidP="00136E9E">
      <w:pPr>
        <w:numPr>
          <w:ilvl w:val="0"/>
          <w:numId w:val="15"/>
        </w:numPr>
        <w:tabs>
          <w:tab w:val="left" w:pos="421"/>
        </w:tabs>
        <w:spacing w:after="0" w:line="218" w:lineRule="auto"/>
        <w:jc w:val="both"/>
      </w:pPr>
      <w:r>
        <w:t>Za właściwe rozpoznanie indywidualnych potrzeb szkoleniowych/edukacyjnych w danej jednostce/komórce organizacyjnej  odpowiada bezpośredni przełożony.</w:t>
      </w:r>
    </w:p>
    <w:p w:rsidR="00136E9E" w:rsidRDefault="00136E9E" w:rsidP="00136E9E">
      <w:pPr>
        <w:tabs>
          <w:tab w:val="left" w:pos="421"/>
        </w:tabs>
        <w:spacing w:after="0" w:line="218" w:lineRule="auto"/>
        <w:ind w:left="720"/>
        <w:jc w:val="both"/>
      </w:pPr>
    </w:p>
    <w:p w:rsidR="008E19F9" w:rsidRDefault="001F4A5D" w:rsidP="00E72D06">
      <w:pPr>
        <w:numPr>
          <w:ilvl w:val="0"/>
          <w:numId w:val="15"/>
        </w:numPr>
        <w:tabs>
          <w:tab w:val="left" w:pos="361"/>
        </w:tabs>
        <w:spacing w:line="0" w:lineRule="atLeast"/>
        <w:jc w:val="both"/>
      </w:pPr>
      <w:r>
        <w:t xml:space="preserve">Nadzór nad procesem </w:t>
      </w:r>
      <w:r w:rsidR="008E19F9">
        <w:t>rejestracji szkoleń</w:t>
      </w:r>
      <w:r w:rsidR="00831690">
        <w:t>,</w:t>
      </w:r>
      <w:r w:rsidR="00E85B12">
        <w:t xml:space="preserve"> </w:t>
      </w:r>
      <w:r w:rsidR="008E19F9">
        <w:t>dofinansowania kształcenia</w:t>
      </w:r>
      <w:r w:rsidR="00831690">
        <w:t xml:space="preserve"> oraz organizacji szkoleń ogólnouczelnianych</w:t>
      </w:r>
      <w:r w:rsidR="008E19F9">
        <w:t xml:space="preserve"> pełni </w:t>
      </w:r>
      <w:r w:rsidR="00831690">
        <w:t xml:space="preserve">Prorektor ds. </w:t>
      </w:r>
      <w:r w:rsidR="001F1B57">
        <w:t>Rozwoju i Integracji Wspólnoty.</w:t>
      </w:r>
    </w:p>
    <w:p w:rsidR="00012299" w:rsidRDefault="00012299" w:rsidP="00012299">
      <w:pPr>
        <w:numPr>
          <w:ilvl w:val="0"/>
          <w:numId w:val="15"/>
        </w:numPr>
        <w:tabs>
          <w:tab w:val="left" w:pos="421"/>
        </w:tabs>
        <w:spacing w:after="0" w:line="218" w:lineRule="auto"/>
        <w:jc w:val="both"/>
      </w:pPr>
      <w:r>
        <w:t>Podnoszenie kwalifikacji zawodowych powinno dotyczyć rozwoju, wiedzy i kwalifikacji pracownika związanych z rodzajem wykonywanej pracy, zakresem obowiązków i zadań.</w:t>
      </w:r>
    </w:p>
    <w:p w:rsidR="00E85B12" w:rsidRDefault="00E85B12" w:rsidP="00E72D06">
      <w:pPr>
        <w:tabs>
          <w:tab w:val="left" w:pos="281"/>
        </w:tabs>
        <w:spacing w:after="0" w:line="219" w:lineRule="auto"/>
        <w:jc w:val="both"/>
      </w:pPr>
    </w:p>
    <w:p w:rsidR="00D44702" w:rsidRDefault="00D44702" w:rsidP="00D44702">
      <w:pPr>
        <w:numPr>
          <w:ilvl w:val="0"/>
          <w:numId w:val="15"/>
        </w:numPr>
        <w:tabs>
          <w:tab w:val="left" w:pos="341"/>
        </w:tabs>
        <w:spacing w:after="0" w:line="254" w:lineRule="auto"/>
        <w:ind w:hanging="357"/>
        <w:jc w:val="both"/>
      </w:pPr>
      <w:r>
        <w:t>Ze szkolenia i dofinansowania kształcenia może skorzystać każdy pracownik, z tym że okres zatrudnienia pracownika nie może być krótszy niż:</w:t>
      </w:r>
    </w:p>
    <w:p w:rsidR="00302BC3" w:rsidRDefault="00D44702" w:rsidP="00302BC3">
      <w:pPr>
        <w:numPr>
          <w:ilvl w:val="0"/>
          <w:numId w:val="17"/>
        </w:numPr>
        <w:tabs>
          <w:tab w:val="left" w:pos="341"/>
        </w:tabs>
        <w:spacing w:after="0" w:line="254" w:lineRule="auto"/>
        <w:ind w:hanging="357"/>
        <w:jc w:val="both"/>
      </w:pPr>
      <w:r>
        <w:t>czas trwania szkolenia/kształcenia,</w:t>
      </w:r>
    </w:p>
    <w:p w:rsidR="00D44702" w:rsidRDefault="00D44702" w:rsidP="00302BC3">
      <w:pPr>
        <w:numPr>
          <w:ilvl w:val="0"/>
          <w:numId w:val="17"/>
        </w:numPr>
        <w:tabs>
          <w:tab w:val="left" w:pos="341"/>
        </w:tabs>
        <w:spacing w:after="0" w:line="254" w:lineRule="auto"/>
        <w:ind w:hanging="357"/>
        <w:jc w:val="both"/>
      </w:pPr>
      <w:r w:rsidRPr="00EB07E5">
        <w:t>okres, na jaki zostanie zawarta umowa lojalnościow</w:t>
      </w:r>
      <w:r>
        <w:t>a, zgodnie z Załącznikiem nr 1.</w:t>
      </w:r>
    </w:p>
    <w:p w:rsidR="00D44702" w:rsidRDefault="00D44702" w:rsidP="00E72D06">
      <w:pPr>
        <w:tabs>
          <w:tab w:val="left" w:pos="341"/>
        </w:tabs>
        <w:spacing w:after="0" w:line="254" w:lineRule="auto"/>
        <w:jc w:val="both"/>
      </w:pPr>
    </w:p>
    <w:p w:rsidR="00302BC3" w:rsidRDefault="00302BC3" w:rsidP="001F00E3">
      <w:pPr>
        <w:numPr>
          <w:ilvl w:val="0"/>
          <w:numId w:val="15"/>
        </w:numPr>
        <w:tabs>
          <w:tab w:val="left" w:pos="361"/>
        </w:tabs>
        <w:spacing w:line="254" w:lineRule="auto"/>
        <w:jc w:val="both"/>
      </w:pPr>
      <w:r>
        <w:t>Dofinansowanie nie obejmuje semestrów powtarzanych z powodu niezadowalających wyników w nauce osiąganych przez pracownika.</w:t>
      </w:r>
    </w:p>
    <w:p w:rsidR="00D44702" w:rsidRDefault="000F666E" w:rsidP="00D44702">
      <w:pPr>
        <w:numPr>
          <w:ilvl w:val="0"/>
          <w:numId w:val="15"/>
        </w:numPr>
        <w:tabs>
          <w:tab w:val="left" w:pos="361"/>
        </w:tabs>
        <w:spacing w:line="254" w:lineRule="auto"/>
        <w:jc w:val="both"/>
      </w:pPr>
      <w:r>
        <w:t>Szkolenia mogą być</w:t>
      </w:r>
      <w:r w:rsidR="00E72D06">
        <w:t xml:space="preserve"> realizowane na zewnątrz</w:t>
      </w:r>
      <w:r w:rsidR="00FC5F5D">
        <w:t xml:space="preserve"> lub </w:t>
      </w:r>
      <w:r w:rsidR="00D44702">
        <w:t>jako szkolenia wewnętrzne, prowadzone przy pomocy własnej kadry szkoleniowej bądź szkolenia zewnętrzne, których prowadzenie Politechnika Wrocławska zleca wyspecjalizowanym firmom szkoleniowym.</w:t>
      </w:r>
    </w:p>
    <w:p w:rsidR="00E72D06" w:rsidRDefault="00302BC3" w:rsidP="00E72D06">
      <w:pPr>
        <w:numPr>
          <w:ilvl w:val="0"/>
          <w:numId w:val="15"/>
        </w:numPr>
        <w:tabs>
          <w:tab w:val="left" w:pos="281"/>
        </w:tabs>
        <w:spacing w:after="0" w:line="219" w:lineRule="auto"/>
        <w:jc w:val="both"/>
      </w:pPr>
      <w:r>
        <w:t>Seminaria naukowo-dydaktyczne, kongresy naukowo-dydaktyczne oraz konferencje naukowo-dydaktyczne dla nauczycieli akademickich nie wymagają rejestracji w Centralnym Rejestrze Szkoleń.</w:t>
      </w:r>
    </w:p>
    <w:p w:rsidR="00E72D06" w:rsidRDefault="00E72D06" w:rsidP="00E72D06">
      <w:pPr>
        <w:tabs>
          <w:tab w:val="left" w:pos="281"/>
        </w:tabs>
        <w:spacing w:after="0" w:line="219" w:lineRule="auto"/>
        <w:ind w:left="720"/>
        <w:jc w:val="both"/>
      </w:pPr>
    </w:p>
    <w:p w:rsidR="00E72D06" w:rsidRDefault="007833AE" w:rsidP="00E72D06">
      <w:pPr>
        <w:numPr>
          <w:ilvl w:val="0"/>
          <w:numId w:val="15"/>
        </w:numPr>
        <w:tabs>
          <w:tab w:val="left" w:pos="281"/>
        </w:tabs>
        <w:spacing w:after="0" w:line="219" w:lineRule="auto"/>
        <w:jc w:val="both"/>
      </w:pPr>
      <w:r>
        <w:t>W przypadku szkoleń finansowanych z projektów nie stosuje się § 6.</w:t>
      </w:r>
    </w:p>
    <w:p w:rsidR="00E72D06" w:rsidRDefault="00E72D06" w:rsidP="00E72D06">
      <w:pPr>
        <w:tabs>
          <w:tab w:val="left" w:pos="281"/>
        </w:tabs>
        <w:spacing w:after="0" w:line="219" w:lineRule="auto"/>
        <w:ind w:left="720"/>
        <w:jc w:val="both"/>
      </w:pPr>
    </w:p>
    <w:p w:rsidR="00E72D06" w:rsidRDefault="006B18D3" w:rsidP="00E72D06">
      <w:pPr>
        <w:numPr>
          <w:ilvl w:val="0"/>
          <w:numId w:val="15"/>
        </w:numPr>
        <w:tabs>
          <w:tab w:val="left" w:pos="281"/>
        </w:tabs>
        <w:spacing w:after="0" w:line="219" w:lineRule="auto"/>
        <w:jc w:val="both"/>
      </w:pPr>
      <w:r>
        <w:t>DSR</w:t>
      </w:r>
      <w:r w:rsidR="008E19F9">
        <w:t xml:space="preserve"> prowadzi Centralny Rejestr Szkoleń oraz odpowiada za realizację procesu organizacji szkoleń ogólnouczelnianych, finansowanych z Centralnego Budżetu Szkoleń.</w:t>
      </w:r>
    </w:p>
    <w:p w:rsidR="007F5EA5" w:rsidRDefault="007F5EA5" w:rsidP="00E72D06">
      <w:pPr>
        <w:tabs>
          <w:tab w:val="left" w:pos="341"/>
        </w:tabs>
        <w:spacing w:after="0" w:line="254" w:lineRule="auto"/>
        <w:jc w:val="both"/>
      </w:pPr>
    </w:p>
    <w:p w:rsidR="00E72D06" w:rsidRDefault="008E19F9" w:rsidP="00541718">
      <w:pPr>
        <w:numPr>
          <w:ilvl w:val="0"/>
          <w:numId w:val="15"/>
        </w:numPr>
        <w:tabs>
          <w:tab w:val="left" w:pos="361"/>
        </w:tabs>
        <w:spacing w:line="225" w:lineRule="auto"/>
        <w:jc w:val="both"/>
      </w:pPr>
      <w:r w:rsidRPr="00557463">
        <w:t>Wnioski: o rejestrację szkolenia, o sfinansowanie szkolenia</w:t>
      </w:r>
      <w:r>
        <w:t xml:space="preserve"> z Centralnego Budżetu Szkoleń, </w:t>
      </w:r>
      <w:r w:rsidR="00434DEB">
        <w:br/>
      </w:r>
      <w:r w:rsidRPr="00557463">
        <w:t xml:space="preserve">o dofinansowanie kształcenia są weryfikowane </w:t>
      </w:r>
      <w:r w:rsidR="00942782">
        <w:t>w zakresie okresu zatrudnienia oraz</w:t>
      </w:r>
      <w:r w:rsidR="007833AE">
        <w:t xml:space="preserve"> </w:t>
      </w:r>
      <w:r w:rsidR="00942782" w:rsidRPr="00A36654">
        <w:rPr>
          <w:color w:val="FFFFFF"/>
        </w:rPr>
        <w:t xml:space="preserve"> </w:t>
      </w:r>
      <w:r w:rsidR="00942782">
        <w:t>stanowisk</w:t>
      </w:r>
      <w:r w:rsidR="00147992">
        <w:t>a</w:t>
      </w:r>
      <w:r w:rsidR="00942782">
        <w:t xml:space="preserve"> </w:t>
      </w:r>
      <w:r w:rsidRPr="00557463">
        <w:t xml:space="preserve">przez </w:t>
      </w:r>
      <w:r w:rsidR="00942782">
        <w:t>DSR</w:t>
      </w:r>
      <w:r w:rsidR="00E72D06">
        <w:t>.</w:t>
      </w:r>
    </w:p>
    <w:p w:rsidR="008E19F9" w:rsidRDefault="00E91651" w:rsidP="00E72D06">
      <w:pPr>
        <w:numPr>
          <w:ilvl w:val="0"/>
          <w:numId w:val="15"/>
        </w:numPr>
        <w:tabs>
          <w:tab w:val="left" w:pos="361"/>
        </w:tabs>
        <w:spacing w:line="225" w:lineRule="auto"/>
        <w:jc w:val="both"/>
      </w:pPr>
      <w:r>
        <w:t xml:space="preserve">W </w:t>
      </w:r>
      <w:r w:rsidR="008E19F9">
        <w:t xml:space="preserve">przypadku, gdy szkolenie/kształcenie się nie odbędzie, bądź następuje zmiana uczestników, kwoty lub terminu konieczne jest zgłoszenie tego faktu do </w:t>
      </w:r>
      <w:r w:rsidR="00942782">
        <w:t>D</w:t>
      </w:r>
      <w:r w:rsidR="00830B36">
        <w:t>SR</w:t>
      </w:r>
      <w:r w:rsidR="008E19F9">
        <w:t xml:space="preserve"> i naniesienie odpowiednich korekt</w:t>
      </w:r>
      <w:r w:rsidR="00942782">
        <w:t xml:space="preserve"> na złożonym wniosku</w:t>
      </w:r>
      <w:r w:rsidR="00541718">
        <w:t>.</w:t>
      </w:r>
    </w:p>
    <w:p w:rsidR="00942782" w:rsidRDefault="00942782" w:rsidP="00434DEB">
      <w:pPr>
        <w:numPr>
          <w:ilvl w:val="0"/>
          <w:numId w:val="15"/>
        </w:numPr>
        <w:tabs>
          <w:tab w:val="left" w:pos="361"/>
        </w:tabs>
        <w:spacing w:line="225" w:lineRule="auto"/>
        <w:jc w:val="both"/>
      </w:pPr>
      <w:r>
        <w:t xml:space="preserve">W przypadku zwiększenia kwoty szkolenia/kształcenia konieczne jest anulowanie wniosku </w:t>
      </w:r>
      <w:r w:rsidR="002929D1">
        <w:br/>
      </w:r>
      <w:r>
        <w:t>i złożenie nowego uwzględniającego zwiększoną kwotę.</w:t>
      </w:r>
    </w:p>
    <w:p w:rsidR="008E19F9" w:rsidRDefault="008E19F9" w:rsidP="00434DEB">
      <w:pPr>
        <w:numPr>
          <w:ilvl w:val="0"/>
          <w:numId w:val="15"/>
        </w:numPr>
        <w:tabs>
          <w:tab w:val="left" w:pos="361"/>
        </w:tabs>
        <w:spacing w:line="225" w:lineRule="auto"/>
        <w:jc w:val="both"/>
      </w:pPr>
      <w:r>
        <w:t xml:space="preserve">Pracownik rezygnujący z udziału w szkoleniu/kształceniu </w:t>
      </w:r>
      <w:r w:rsidRPr="001F00E3">
        <w:t xml:space="preserve">zobowiązany </w:t>
      </w:r>
      <w:r w:rsidR="00541718">
        <w:t xml:space="preserve">jest </w:t>
      </w:r>
      <w:r w:rsidR="00FC5F5D" w:rsidRPr="001F00E3">
        <w:t>poinformować bezpośredniego przełożoneg</w:t>
      </w:r>
      <w:r w:rsidR="009A52B7">
        <w:t>o</w:t>
      </w:r>
      <w:r w:rsidR="000F666E">
        <w:t xml:space="preserve"> </w:t>
      </w:r>
      <w:r w:rsidR="00FC5F5D" w:rsidRPr="001F00E3">
        <w:t>oraz</w:t>
      </w:r>
      <w:r w:rsidR="000F666E">
        <w:t xml:space="preserve"> </w:t>
      </w:r>
      <w:r>
        <w:t xml:space="preserve">przekazać do </w:t>
      </w:r>
      <w:r w:rsidR="00E85B12">
        <w:t>DSR</w:t>
      </w:r>
      <w:r w:rsidR="000F666E">
        <w:t xml:space="preserve"> </w:t>
      </w:r>
      <w:r>
        <w:t xml:space="preserve">pisemną (e-mail) informację </w:t>
      </w:r>
      <w:r w:rsidR="00E91651">
        <w:br/>
      </w:r>
      <w:r>
        <w:t>z podaniem powodu rezygnacji.</w:t>
      </w:r>
    </w:p>
    <w:p w:rsidR="00541718" w:rsidRPr="00541718" w:rsidRDefault="009A52B7" w:rsidP="00497463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shd w:val="clear" w:color="auto" w:fill="FFFFFF"/>
          <w:lang w:eastAsia="pl-PL"/>
        </w:rPr>
        <w:t xml:space="preserve">Zgodnie z </w:t>
      </w:r>
      <w:r w:rsidR="00541718" w:rsidRPr="00541718">
        <w:rPr>
          <w:rFonts w:eastAsia="Times New Roman"/>
          <w:shd w:val="clear" w:color="auto" w:fill="FFFFFF"/>
          <w:lang w:eastAsia="pl-PL"/>
        </w:rPr>
        <w:t>art. 103</w:t>
      </w:r>
      <w:r w:rsidR="00541718" w:rsidRPr="00541718">
        <w:rPr>
          <w:rFonts w:eastAsia="Times New Roman"/>
          <w:shd w:val="clear" w:color="auto" w:fill="FFFFFF"/>
          <w:vertAlign w:val="superscript"/>
          <w:lang w:eastAsia="pl-PL"/>
        </w:rPr>
        <w:t>5</w:t>
      </w:r>
      <w:r w:rsidR="00541718" w:rsidRPr="00541718">
        <w:rPr>
          <w:rFonts w:eastAsia="Times New Roman"/>
          <w:shd w:val="clear" w:color="auto" w:fill="FFFFFF"/>
          <w:lang w:eastAsia="pl-PL"/>
        </w:rPr>
        <w:t xml:space="preserve"> Kodeksu Pracy (</w:t>
      </w:r>
      <w:proofErr w:type="spellStart"/>
      <w:r w:rsidR="00541718" w:rsidRPr="00541718">
        <w:rPr>
          <w:rFonts w:eastAsia="Times New Roman"/>
          <w:shd w:val="clear" w:color="auto" w:fill="FFFFFF"/>
          <w:lang w:eastAsia="pl-PL"/>
        </w:rPr>
        <w:t>t.j</w:t>
      </w:r>
      <w:proofErr w:type="spellEnd"/>
      <w:r w:rsidR="00541718" w:rsidRPr="00541718">
        <w:rPr>
          <w:rFonts w:eastAsia="Times New Roman"/>
          <w:shd w:val="clear" w:color="auto" w:fill="FFFFFF"/>
          <w:lang w:eastAsia="pl-PL"/>
        </w:rPr>
        <w:t xml:space="preserve">. Dz.U. 2023 poz. 1465 z </w:t>
      </w:r>
      <w:proofErr w:type="spellStart"/>
      <w:r w:rsidR="00541718" w:rsidRPr="00541718">
        <w:rPr>
          <w:rFonts w:eastAsia="Times New Roman"/>
          <w:shd w:val="clear" w:color="auto" w:fill="FFFFFF"/>
          <w:lang w:eastAsia="pl-PL"/>
        </w:rPr>
        <w:t>późn</w:t>
      </w:r>
      <w:proofErr w:type="spellEnd"/>
      <w:r w:rsidR="00541718" w:rsidRPr="00541718">
        <w:rPr>
          <w:rFonts w:eastAsia="Times New Roman"/>
          <w:shd w:val="clear" w:color="auto" w:fill="FFFFFF"/>
          <w:lang w:eastAsia="pl-PL"/>
        </w:rPr>
        <w:t>. zm.)</w:t>
      </w:r>
      <w:r w:rsidR="00541718">
        <w:rPr>
          <w:rFonts w:eastAsia="Times New Roman"/>
          <w:shd w:val="clear" w:color="auto" w:fill="FFFFFF"/>
          <w:lang w:eastAsia="pl-PL"/>
        </w:rPr>
        <w:t xml:space="preserve"> </w:t>
      </w:r>
      <w:r w:rsidR="00541718" w:rsidRPr="00541718">
        <w:rPr>
          <w:rFonts w:eastAsia="Times New Roman"/>
          <w:shd w:val="clear" w:color="auto" w:fill="FFFFFF"/>
          <w:lang w:eastAsia="pl-PL"/>
        </w:rPr>
        <w:t>pracownik podnoszący kwalifikacje zawodowe:</w:t>
      </w:r>
    </w:p>
    <w:p w:rsidR="00541718" w:rsidRPr="00541718" w:rsidRDefault="00541718" w:rsidP="00497463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lang w:eastAsia="pl-PL"/>
        </w:rPr>
      </w:pPr>
      <w:r w:rsidRPr="00541718">
        <w:rPr>
          <w:rFonts w:eastAsia="Times New Roman"/>
          <w:lang w:eastAsia="pl-PL"/>
        </w:rPr>
        <w:t>1) który bez uzasadnionych przyczyn nie podejmie podnoszenia kwalifikacji zawodowych albo przerwie podnoszenie tych kwalifikacji,</w:t>
      </w:r>
    </w:p>
    <w:p w:rsidR="00541718" w:rsidRPr="00541718" w:rsidRDefault="00541718" w:rsidP="00497463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lang w:eastAsia="pl-PL"/>
        </w:rPr>
      </w:pPr>
      <w:r w:rsidRPr="00541718">
        <w:rPr>
          <w:rFonts w:eastAsia="Times New Roman"/>
          <w:lang w:eastAsia="pl-PL"/>
        </w:rPr>
        <w:t xml:space="preserve">2) z którym pracodawca rozwiąże stosunek pracy bez wypowiedzenia z jego winy, w trakcie podnoszenia kwalifikacji zawodowych lub po jego ukończeniu, w terminie określonym </w:t>
      </w:r>
      <w:r w:rsidR="00497463">
        <w:rPr>
          <w:rFonts w:eastAsia="Times New Roman"/>
          <w:lang w:eastAsia="pl-PL"/>
        </w:rPr>
        <w:br/>
      </w:r>
      <w:r w:rsidRPr="00541718">
        <w:rPr>
          <w:rFonts w:eastAsia="Times New Roman"/>
          <w:lang w:eastAsia="pl-PL"/>
        </w:rPr>
        <w:t>w umowie, o której mowa w</w:t>
      </w:r>
      <w:r w:rsidRPr="00541718">
        <w:rPr>
          <w:rFonts w:eastAsia="Times New Roman"/>
          <w:b/>
          <w:bCs/>
          <w:lang w:eastAsia="pl-PL"/>
        </w:rPr>
        <w:t> art. 103</w:t>
      </w:r>
      <w:r w:rsidRPr="00541718">
        <w:rPr>
          <w:rFonts w:eastAsia="Times New Roman"/>
          <w:b/>
          <w:bCs/>
          <w:vertAlign w:val="superscript"/>
          <w:lang w:eastAsia="pl-PL"/>
        </w:rPr>
        <w:t>4</w:t>
      </w:r>
      <w:r w:rsidRPr="00541718">
        <w:rPr>
          <w:rFonts w:eastAsia="Times New Roman"/>
          <w:lang w:eastAsia="pl-PL"/>
        </w:rPr>
        <w:t> , nie dłuższym niż 3 lata,</w:t>
      </w:r>
    </w:p>
    <w:p w:rsidR="00541718" w:rsidRPr="00541718" w:rsidRDefault="00541718" w:rsidP="00497463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lang w:eastAsia="pl-PL"/>
        </w:rPr>
      </w:pPr>
      <w:r w:rsidRPr="00541718">
        <w:rPr>
          <w:rFonts w:eastAsia="Times New Roman"/>
          <w:lang w:eastAsia="pl-PL"/>
        </w:rPr>
        <w:lastRenderedPageBreak/>
        <w:t xml:space="preserve">3)który w okresie wskazanym w pkt 2 rozwiąże stosunek pracy za wypowiedzeniem, </w:t>
      </w:r>
      <w:r w:rsidR="00497463">
        <w:rPr>
          <w:rFonts w:eastAsia="Times New Roman"/>
          <w:lang w:eastAsia="pl-PL"/>
        </w:rPr>
        <w:br/>
      </w:r>
      <w:r w:rsidRPr="00541718">
        <w:rPr>
          <w:rFonts w:eastAsia="Times New Roman"/>
          <w:lang w:eastAsia="pl-PL"/>
        </w:rPr>
        <w:t>z wyjątkiem wypowiedzenia umowy o pracę z przyczyn określonych w</w:t>
      </w:r>
      <w:r w:rsidRPr="00541718">
        <w:rPr>
          <w:rFonts w:eastAsia="Times New Roman"/>
          <w:b/>
          <w:bCs/>
          <w:lang w:eastAsia="pl-PL"/>
        </w:rPr>
        <w:t> art. 94</w:t>
      </w:r>
      <w:r w:rsidRPr="00541718">
        <w:rPr>
          <w:rFonts w:eastAsia="Times New Roman"/>
          <w:b/>
          <w:bCs/>
          <w:vertAlign w:val="superscript"/>
          <w:lang w:eastAsia="pl-PL"/>
        </w:rPr>
        <w:t>3</w:t>
      </w:r>
      <w:r w:rsidRPr="00541718">
        <w:rPr>
          <w:rFonts w:eastAsia="Times New Roman"/>
          <w:lang w:eastAsia="pl-PL"/>
        </w:rPr>
        <w:t> ,</w:t>
      </w:r>
    </w:p>
    <w:p w:rsidR="00701CAA" w:rsidRPr="0088478B" w:rsidRDefault="00541718" w:rsidP="0088478B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lang w:eastAsia="pl-PL"/>
        </w:rPr>
      </w:pPr>
      <w:r w:rsidRPr="00541718">
        <w:rPr>
          <w:rFonts w:eastAsia="Times New Roman"/>
          <w:lang w:eastAsia="pl-PL"/>
        </w:rPr>
        <w:t>4)który w okresie wskazanym w pkt 2 rozwiąże stosunek pracy bez wypowiedzenia na podstawie</w:t>
      </w:r>
      <w:r w:rsidRPr="00541718">
        <w:rPr>
          <w:rFonts w:eastAsia="Times New Roman"/>
          <w:b/>
          <w:bCs/>
          <w:lang w:eastAsia="pl-PL"/>
        </w:rPr>
        <w:t> art. 55</w:t>
      </w:r>
      <w:r w:rsidRPr="00541718">
        <w:rPr>
          <w:rFonts w:eastAsia="Times New Roman"/>
          <w:lang w:eastAsia="pl-PL"/>
        </w:rPr>
        <w:t>  lub</w:t>
      </w:r>
      <w:r w:rsidRPr="00541718">
        <w:rPr>
          <w:rFonts w:eastAsia="Times New Roman"/>
          <w:b/>
          <w:bCs/>
          <w:lang w:eastAsia="pl-PL"/>
        </w:rPr>
        <w:t> art. 94</w:t>
      </w:r>
      <w:r w:rsidRPr="00541718">
        <w:rPr>
          <w:rFonts w:eastAsia="Times New Roman"/>
          <w:b/>
          <w:bCs/>
          <w:vertAlign w:val="superscript"/>
          <w:lang w:eastAsia="pl-PL"/>
        </w:rPr>
        <w:t>3</w:t>
      </w:r>
      <w:r w:rsidRPr="00541718">
        <w:rPr>
          <w:rFonts w:eastAsia="Times New Roman"/>
          <w:lang w:eastAsia="pl-PL"/>
        </w:rPr>
        <w:t> , mimo braku przyczyn określonych w tych przepisach</w:t>
      </w:r>
      <w:r w:rsidRPr="00541718">
        <w:rPr>
          <w:rFonts w:eastAsia="Times New Roman"/>
          <w:lang w:eastAsia="pl-PL"/>
        </w:rPr>
        <w:br/>
        <w:t>- jest obowiązany do zwrotu kosztów poniesionych przez pracodawcę na ten cel z tytułu dodatkowych świadczeń, w wysokości proporcjonalnej do okresu zatrudnienia po ukończeniu podnoszenia kwalifikacji zawodowych lub okresu zatrudnienia w czasie ich podnoszenia.</w:t>
      </w:r>
    </w:p>
    <w:p w:rsidR="008E19F9" w:rsidRPr="008E19F9" w:rsidRDefault="008E19F9" w:rsidP="0088478B">
      <w:pPr>
        <w:spacing w:before="240" w:line="0" w:lineRule="atLeast"/>
        <w:ind w:right="-62"/>
        <w:jc w:val="center"/>
        <w:rPr>
          <w:color w:val="632423"/>
          <w:sz w:val="24"/>
        </w:rPr>
      </w:pPr>
      <w:r>
        <w:rPr>
          <w:color w:val="632423"/>
          <w:sz w:val="24"/>
        </w:rPr>
        <w:t>REJESTRACJA SZKOLEŃ</w:t>
      </w:r>
    </w:p>
    <w:p w:rsidR="008E19F9" w:rsidRDefault="008E19F9" w:rsidP="002A652E">
      <w:pPr>
        <w:numPr>
          <w:ilvl w:val="1"/>
          <w:numId w:val="5"/>
        </w:numPr>
        <w:tabs>
          <w:tab w:val="left" w:pos="4561"/>
        </w:tabs>
        <w:spacing w:after="0" w:line="0" w:lineRule="atLeast"/>
        <w:ind w:left="4561" w:hanging="161"/>
      </w:pPr>
      <w:r>
        <w:t>4</w:t>
      </w:r>
    </w:p>
    <w:p w:rsidR="007F5EA5" w:rsidRDefault="007F5EA5" w:rsidP="007F5EA5">
      <w:pPr>
        <w:tabs>
          <w:tab w:val="left" w:pos="4561"/>
        </w:tabs>
        <w:spacing w:after="0" w:line="0" w:lineRule="atLeast"/>
        <w:ind w:left="4561"/>
      </w:pPr>
    </w:p>
    <w:p w:rsidR="008E19F9" w:rsidRPr="00541718" w:rsidRDefault="008E19F9" w:rsidP="00541718">
      <w:pPr>
        <w:spacing w:line="286" w:lineRule="exact"/>
        <w:rPr>
          <w:color w:val="660033"/>
        </w:rPr>
      </w:pPr>
      <w:r w:rsidRPr="008E19F9">
        <w:rPr>
          <w:color w:val="660033"/>
        </w:rPr>
        <w:t>RE</w:t>
      </w:r>
      <w:r w:rsidR="00383131">
        <w:rPr>
          <w:color w:val="660033"/>
        </w:rPr>
        <w:t>J</w:t>
      </w:r>
      <w:r w:rsidR="00541718">
        <w:rPr>
          <w:color w:val="660033"/>
        </w:rPr>
        <w:t>ESTRACJA SZKOLENIA</w:t>
      </w:r>
    </w:p>
    <w:p w:rsidR="008E19F9" w:rsidRDefault="00637BA9" w:rsidP="00E91651">
      <w:pPr>
        <w:numPr>
          <w:ilvl w:val="0"/>
          <w:numId w:val="23"/>
        </w:numPr>
        <w:tabs>
          <w:tab w:val="left" w:pos="281"/>
        </w:tabs>
        <w:spacing w:after="0" w:line="231" w:lineRule="auto"/>
        <w:jc w:val="both"/>
      </w:pPr>
      <w:r>
        <w:t>Wniosek o rejestrację szkolenia należy złożyć</w:t>
      </w:r>
      <w:r w:rsidR="008E19F9">
        <w:t xml:space="preserve"> w sekretariacie </w:t>
      </w:r>
      <w:r w:rsidR="001F1B57">
        <w:t xml:space="preserve">Prorektora ds. Rozwoju </w:t>
      </w:r>
      <w:r w:rsidR="00E91651">
        <w:br/>
      </w:r>
      <w:r w:rsidR="001F1B57">
        <w:t>i Integracji Wspólnoty</w:t>
      </w:r>
      <w:r w:rsidR="000F666E">
        <w:t xml:space="preserve"> </w:t>
      </w:r>
      <w:r w:rsidR="008E19F9">
        <w:t>(Wniosek</w:t>
      </w:r>
      <w:r w:rsidR="008E19F9" w:rsidRPr="00BE587C">
        <w:rPr>
          <w:i/>
        </w:rPr>
        <w:t xml:space="preserve"> </w:t>
      </w:r>
      <w:r w:rsidR="008E19F9">
        <w:t>o rejestrację</w:t>
      </w:r>
      <w:r w:rsidR="008E19F9" w:rsidRPr="00BE587C">
        <w:rPr>
          <w:i/>
        </w:rPr>
        <w:t xml:space="preserve"> </w:t>
      </w:r>
      <w:r w:rsidR="008E19F9">
        <w:t>szkolenia</w:t>
      </w:r>
      <w:r w:rsidR="008E19F9" w:rsidRPr="00BE587C">
        <w:rPr>
          <w:i/>
        </w:rPr>
        <w:t xml:space="preserve"> </w:t>
      </w:r>
      <w:r w:rsidR="008E19F9">
        <w:t xml:space="preserve">dostępny jest na stronie </w:t>
      </w:r>
      <w:r w:rsidR="00BE587C">
        <w:t>DSR</w:t>
      </w:r>
      <w:r w:rsidR="008E19F9">
        <w:t xml:space="preserve">). </w:t>
      </w:r>
      <w:r w:rsidR="008E19F9" w:rsidRPr="008D18BA">
        <w:t>Wniosek o rejestrację szkolenia</w:t>
      </w:r>
      <w:r w:rsidR="008E19F9">
        <w:t xml:space="preserve"> winien być zatwierdzony przez </w:t>
      </w:r>
      <w:r w:rsidR="00BE587C">
        <w:t xml:space="preserve">dysponenta budżetu </w:t>
      </w:r>
      <w:r w:rsidR="008E19F9">
        <w:t>danej jednostki/komórki organizacyjnej i zaakceptowany zgodnie ze strukturą podległości</w:t>
      </w:r>
      <w:r w:rsidR="00E91651">
        <w:t>.</w:t>
      </w:r>
      <w:r w:rsidR="001F00E3">
        <w:t xml:space="preserve"> </w:t>
      </w:r>
      <w:r w:rsidR="00E91651">
        <w:br/>
      </w:r>
      <w:r w:rsidR="001F00E3">
        <w:t>W przypadku udziału w tym samym szkoleniu kilku pracowników danej jednostki/komórki organizacyjnej należy złożyć jeden wniosek o rejestrację szkolenia z załączoną listą zbiorczą uczestników. Lista powinna zawierać: imię i nazwisko, nazwę stanowiska oraz okres zatrudniania każdego uczestnika.</w:t>
      </w:r>
    </w:p>
    <w:p w:rsidR="00541718" w:rsidRDefault="00541718" w:rsidP="00541718">
      <w:pPr>
        <w:tabs>
          <w:tab w:val="left" w:pos="281"/>
        </w:tabs>
        <w:spacing w:after="0" w:line="231" w:lineRule="auto"/>
        <w:ind w:left="720"/>
      </w:pPr>
    </w:p>
    <w:p w:rsidR="008E19F9" w:rsidRDefault="008E19F9" w:rsidP="00E91651">
      <w:pPr>
        <w:numPr>
          <w:ilvl w:val="0"/>
          <w:numId w:val="23"/>
        </w:numPr>
        <w:tabs>
          <w:tab w:val="left" w:pos="281"/>
        </w:tabs>
        <w:spacing w:after="0" w:line="218" w:lineRule="auto"/>
        <w:jc w:val="both"/>
      </w:pPr>
      <w:r>
        <w:t>Szkolenia organizowane w ramach tylko jednej jednostki/komórki organizacyjnej - są finansowane w ramach budżetu tej jednostki/komórki.</w:t>
      </w:r>
    </w:p>
    <w:p w:rsidR="008E726C" w:rsidRDefault="008E726C" w:rsidP="00E91651">
      <w:pPr>
        <w:tabs>
          <w:tab w:val="left" w:pos="281"/>
        </w:tabs>
        <w:spacing w:after="0" w:line="218" w:lineRule="auto"/>
        <w:jc w:val="both"/>
      </w:pPr>
    </w:p>
    <w:p w:rsidR="008E19F9" w:rsidRDefault="008E19F9" w:rsidP="00E91651">
      <w:pPr>
        <w:numPr>
          <w:ilvl w:val="0"/>
          <w:numId w:val="23"/>
        </w:numPr>
        <w:tabs>
          <w:tab w:val="left" w:pos="281"/>
        </w:tabs>
        <w:spacing w:after="0" w:line="219" w:lineRule="auto"/>
        <w:jc w:val="both"/>
      </w:pPr>
      <w:r>
        <w:t>Jednostka/komórka organizacyjna, której pracownik bierze udział w szkoleniu, jest odpowiedzialna za wy</w:t>
      </w:r>
      <w:r w:rsidR="009A52B7">
        <w:t xml:space="preserve">generowanie wniosku zakupowego </w:t>
      </w:r>
      <w:r>
        <w:t>w systemie TETA na dane szkolenie.</w:t>
      </w:r>
    </w:p>
    <w:p w:rsidR="008E19F9" w:rsidRDefault="008E19F9" w:rsidP="00434DEB">
      <w:pPr>
        <w:tabs>
          <w:tab w:val="left" w:pos="281"/>
        </w:tabs>
        <w:spacing w:after="0" w:line="219" w:lineRule="auto"/>
        <w:jc w:val="both"/>
      </w:pPr>
    </w:p>
    <w:p w:rsidR="008E19F9" w:rsidRDefault="008E19F9" w:rsidP="0088478B">
      <w:pPr>
        <w:numPr>
          <w:ilvl w:val="0"/>
          <w:numId w:val="23"/>
        </w:numPr>
        <w:tabs>
          <w:tab w:val="left" w:pos="281"/>
        </w:tabs>
        <w:spacing w:after="0" w:line="219" w:lineRule="auto"/>
        <w:jc w:val="both"/>
      </w:pPr>
      <w:r w:rsidRPr="00852CCB">
        <w:t xml:space="preserve">W celu rozliczenia szkolenia, należy uzyskać na fakturze potwierdzenie </w:t>
      </w:r>
      <w:r w:rsidR="00BE587C">
        <w:t>DSR</w:t>
      </w:r>
      <w:r w:rsidR="009A52B7">
        <w:t xml:space="preserve"> rejestracji w</w:t>
      </w:r>
      <w:r w:rsidRPr="00852CCB">
        <w:t>niosku w Centralnym Rejestrze Szkoleń.</w:t>
      </w:r>
    </w:p>
    <w:p w:rsidR="008E19F9" w:rsidRPr="008E19F9" w:rsidRDefault="008E19F9" w:rsidP="0088478B">
      <w:pPr>
        <w:spacing w:before="240" w:line="0" w:lineRule="atLeast"/>
        <w:ind w:right="17"/>
        <w:rPr>
          <w:color w:val="660033"/>
        </w:rPr>
      </w:pPr>
      <w:r w:rsidRPr="008E19F9">
        <w:rPr>
          <w:color w:val="660033"/>
        </w:rPr>
        <w:t xml:space="preserve">REJESTRACJA SZKOLENIA </w:t>
      </w:r>
      <w:r w:rsidR="00BE587C">
        <w:rPr>
          <w:color w:val="660033"/>
        </w:rPr>
        <w:t xml:space="preserve">OGÓLNOUCZELNIANEGO </w:t>
      </w:r>
      <w:r w:rsidRPr="008E19F9">
        <w:rPr>
          <w:color w:val="660033"/>
        </w:rPr>
        <w:t>FINANSOWANEGO Z CENTRALNEGO BUDŻETU SZKOLEŃ</w:t>
      </w:r>
    </w:p>
    <w:p w:rsidR="00541718" w:rsidRDefault="008E19F9" w:rsidP="00541718">
      <w:pPr>
        <w:numPr>
          <w:ilvl w:val="0"/>
          <w:numId w:val="18"/>
        </w:numPr>
        <w:tabs>
          <w:tab w:val="left" w:pos="281"/>
        </w:tabs>
        <w:spacing w:after="0" w:line="219" w:lineRule="auto"/>
        <w:jc w:val="both"/>
      </w:pPr>
      <w:r>
        <w:t xml:space="preserve">Proces organizacji szkolenia finansowanego z Centralnego Budżetu Szkoleń rozpoczyna się od złożenia w sekretariacie </w:t>
      </w:r>
      <w:r w:rsidR="00B03565">
        <w:t>Prorektora ds.</w:t>
      </w:r>
      <w:r w:rsidR="001F1B57">
        <w:t xml:space="preserve"> Rozwoju i Integracji Wspólnoty </w:t>
      </w:r>
      <w:r w:rsidR="00637BA9">
        <w:t>w</w:t>
      </w:r>
      <w:r w:rsidRPr="008D18BA">
        <w:t xml:space="preserve">niosku </w:t>
      </w:r>
      <w:r w:rsidR="00E91651">
        <w:br/>
      </w:r>
      <w:r w:rsidRPr="008D18BA">
        <w:t>o sfinansowanie szkolenia z Centralnego Budżetu Szkoleń</w:t>
      </w:r>
      <w:r w:rsidRPr="00B03565">
        <w:rPr>
          <w:i/>
        </w:rPr>
        <w:t xml:space="preserve"> </w:t>
      </w:r>
      <w:r>
        <w:t>(Wniosek o sfinansowanie szkolenia z Centralnego Budżetu Szkoleń dostępny jest na stronie</w:t>
      </w:r>
      <w:r w:rsidRPr="00B03565">
        <w:rPr>
          <w:i/>
        </w:rPr>
        <w:t xml:space="preserve"> </w:t>
      </w:r>
      <w:r w:rsidR="00B03565">
        <w:t>DSR</w:t>
      </w:r>
      <w:r>
        <w:t xml:space="preserve">). </w:t>
      </w:r>
      <w:r w:rsidRPr="008D18BA">
        <w:t xml:space="preserve">Wniosek </w:t>
      </w:r>
      <w:r w:rsidR="00E91651">
        <w:br/>
      </w:r>
      <w:r w:rsidRPr="008D18BA">
        <w:t>o sfinansowanie szkolenia z Centralnego Budżetu Szkoleń</w:t>
      </w:r>
      <w:r>
        <w:t xml:space="preserve"> winien być zatwierdzony przez </w:t>
      </w:r>
      <w:r w:rsidR="00B03565">
        <w:t xml:space="preserve">osobę kierującą </w:t>
      </w:r>
      <w:r>
        <w:t>dan</w:t>
      </w:r>
      <w:r w:rsidR="00B03565">
        <w:t>ą</w:t>
      </w:r>
      <w:r>
        <w:t xml:space="preserve"> jednostk</w:t>
      </w:r>
      <w:r w:rsidR="00B03565">
        <w:t>ą</w:t>
      </w:r>
      <w:r>
        <w:t>/komórk</w:t>
      </w:r>
      <w:r w:rsidR="00B03565">
        <w:t>ą</w:t>
      </w:r>
      <w:r>
        <w:t xml:space="preserve"> organizacyj</w:t>
      </w:r>
      <w:r w:rsidR="00B03565">
        <w:t>ną</w:t>
      </w:r>
      <w:r w:rsidR="00541718">
        <w:t>.</w:t>
      </w:r>
    </w:p>
    <w:p w:rsidR="00147992" w:rsidRDefault="008E19F9" w:rsidP="00541718">
      <w:pPr>
        <w:tabs>
          <w:tab w:val="left" w:pos="281"/>
        </w:tabs>
        <w:spacing w:after="0" w:line="219" w:lineRule="auto"/>
        <w:ind w:left="720"/>
        <w:jc w:val="both"/>
      </w:pPr>
      <w:r>
        <w:t xml:space="preserve"> </w:t>
      </w:r>
    </w:p>
    <w:p w:rsidR="00B03565" w:rsidRDefault="00830B36" w:rsidP="00B03565">
      <w:pPr>
        <w:numPr>
          <w:ilvl w:val="0"/>
          <w:numId w:val="18"/>
        </w:numPr>
        <w:tabs>
          <w:tab w:val="left" w:pos="281"/>
        </w:tabs>
        <w:spacing w:after="0" w:line="219" w:lineRule="auto"/>
        <w:jc w:val="both"/>
      </w:pPr>
      <w:r>
        <w:t>Zgodę na realizację szkolenia ogólnouczelnianego</w:t>
      </w:r>
      <w:r w:rsidR="001F1B57">
        <w:t xml:space="preserve"> wyraża</w:t>
      </w:r>
      <w:r>
        <w:t xml:space="preserve"> Prorektor ds. </w:t>
      </w:r>
      <w:r w:rsidR="001F1B57">
        <w:t>Rozwoju i Integracji Wspólnoty.</w:t>
      </w:r>
    </w:p>
    <w:p w:rsidR="008E19F9" w:rsidRDefault="008E19F9" w:rsidP="00541718">
      <w:pPr>
        <w:tabs>
          <w:tab w:val="left" w:pos="281"/>
        </w:tabs>
        <w:spacing w:after="0" w:line="219" w:lineRule="auto"/>
        <w:ind w:left="720"/>
        <w:jc w:val="both"/>
      </w:pPr>
    </w:p>
    <w:p w:rsidR="008E19F9" w:rsidRDefault="008E19F9" w:rsidP="00F15ADE">
      <w:pPr>
        <w:numPr>
          <w:ilvl w:val="0"/>
          <w:numId w:val="18"/>
        </w:numPr>
        <w:tabs>
          <w:tab w:val="left" w:pos="281"/>
        </w:tabs>
        <w:spacing w:after="0" w:line="219" w:lineRule="auto"/>
        <w:jc w:val="both"/>
      </w:pPr>
      <w:r>
        <w:t>Z Centralnego Budżetu Szkoleń mogą być finansowane szkolenia, w których uczestniczą pracownicy więcej niż jednej jednostki/komórki organizacyjnej</w:t>
      </w:r>
      <w:r w:rsidR="00B03565">
        <w:t>.</w:t>
      </w:r>
    </w:p>
    <w:p w:rsidR="008E19F9" w:rsidRDefault="008E19F9" w:rsidP="00434DEB">
      <w:pPr>
        <w:tabs>
          <w:tab w:val="left" w:pos="281"/>
        </w:tabs>
        <w:spacing w:after="0" w:line="219" w:lineRule="auto"/>
        <w:jc w:val="both"/>
      </w:pPr>
    </w:p>
    <w:p w:rsidR="008E19F9" w:rsidRDefault="00B03565" w:rsidP="00F15ADE">
      <w:pPr>
        <w:numPr>
          <w:ilvl w:val="0"/>
          <w:numId w:val="18"/>
        </w:numPr>
        <w:tabs>
          <w:tab w:val="left" w:pos="281"/>
        </w:tabs>
        <w:spacing w:after="0" w:line="219" w:lineRule="auto"/>
        <w:jc w:val="both"/>
      </w:pPr>
      <w:r>
        <w:t>DSR</w:t>
      </w:r>
      <w:r w:rsidR="008E19F9">
        <w:t xml:space="preserve"> jest odpowiedzialn</w:t>
      </w:r>
      <w:r>
        <w:t>y</w:t>
      </w:r>
      <w:r w:rsidR="008E19F9">
        <w:t xml:space="preserve"> za wygenerowanie wniosku zakupowego w</w:t>
      </w:r>
      <w:r w:rsidR="008E726C">
        <w:t xml:space="preserve"> systemie TETA dla szkoleń, </w:t>
      </w:r>
      <w:r w:rsidR="008E19F9">
        <w:t>które są finansowane z Centralnego Budżetu Szkoleń.</w:t>
      </w:r>
    </w:p>
    <w:p w:rsidR="008E19F9" w:rsidRDefault="008E19F9" w:rsidP="00434DEB">
      <w:pPr>
        <w:tabs>
          <w:tab w:val="left" w:pos="281"/>
        </w:tabs>
        <w:spacing w:after="0" w:line="219" w:lineRule="auto"/>
        <w:jc w:val="both"/>
      </w:pPr>
    </w:p>
    <w:p w:rsidR="008E19F9" w:rsidRDefault="008E19F9" w:rsidP="00F15ADE">
      <w:pPr>
        <w:numPr>
          <w:ilvl w:val="0"/>
          <w:numId w:val="18"/>
        </w:numPr>
        <w:tabs>
          <w:tab w:val="left" w:pos="281"/>
        </w:tabs>
        <w:spacing w:after="0" w:line="219" w:lineRule="auto"/>
        <w:jc w:val="both"/>
      </w:pPr>
      <w:r>
        <w:t xml:space="preserve">W celu weryfikacji liczby przeszkolonych osób w ramach Centralnego Budżetu Szkoleń, jednostka/komórka organizacyjna, będąca organizatorem szkolenia, zobowiązana jest do zebrania podpisów uczestników szkolenia na imiennej liście. Wypełnioną listę obecności należy dostarczyć do </w:t>
      </w:r>
      <w:r w:rsidR="00B03565">
        <w:t>DSR</w:t>
      </w:r>
      <w:r>
        <w:t xml:space="preserve"> w celu dołączenia do dokumentacji poszkoleniowej. </w:t>
      </w:r>
    </w:p>
    <w:p w:rsidR="008E19F9" w:rsidRDefault="008E19F9" w:rsidP="00434DEB">
      <w:pPr>
        <w:tabs>
          <w:tab w:val="left" w:pos="281"/>
        </w:tabs>
        <w:spacing w:after="0" w:line="219" w:lineRule="auto"/>
        <w:jc w:val="both"/>
      </w:pPr>
    </w:p>
    <w:p w:rsidR="008E19F9" w:rsidRDefault="008E19F9" w:rsidP="00F15ADE">
      <w:pPr>
        <w:numPr>
          <w:ilvl w:val="0"/>
          <w:numId w:val="18"/>
        </w:numPr>
        <w:tabs>
          <w:tab w:val="left" w:pos="281"/>
        </w:tabs>
        <w:spacing w:after="0" w:line="219" w:lineRule="auto"/>
        <w:jc w:val="both"/>
      </w:pPr>
      <w:r>
        <w:t xml:space="preserve">Po </w:t>
      </w:r>
      <w:r w:rsidR="000F666E">
        <w:t xml:space="preserve">każdym szkoleniu stacjonarnym, </w:t>
      </w:r>
      <w:r>
        <w:t xml:space="preserve">finansowanym z Centralnego Budżetu Szkoleń, </w:t>
      </w:r>
      <w:r w:rsidR="00B03565">
        <w:t>DSR</w:t>
      </w:r>
      <w:r>
        <w:t xml:space="preserve"> przeprowadza anonimową ankietę poszkoleniową.</w:t>
      </w:r>
    </w:p>
    <w:p w:rsidR="008E19F9" w:rsidRPr="00701CAA" w:rsidRDefault="008E19F9" w:rsidP="008E19F9">
      <w:pPr>
        <w:spacing w:line="0" w:lineRule="atLeast"/>
        <w:ind w:right="19"/>
        <w:jc w:val="center"/>
        <w:rPr>
          <w:color w:val="632423"/>
          <w:sz w:val="24"/>
        </w:rPr>
      </w:pPr>
      <w:r w:rsidRPr="00701CAA">
        <w:rPr>
          <w:color w:val="632423"/>
          <w:sz w:val="24"/>
        </w:rPr>
        <w:lastRenderedPageBreak/>
        <w:t xml:space="preserve">REJESTRACJA DOFINANSOWANIA KSZTAŁCENIA  </w:t>
      </w:r>
    </w:p>
    <w:p w:rsidR="008E19F9" w:rsidRDefault="004C2B52" w:rsidP="004C2B52">
      <w:pPr>
        <w:tabs>
          <w:tab w:val="left" w:pos="4561"/>
        </w:tabs>
        <w:spacing w:after="0" w:line="0" w:lineRule="atLeast"/>
        <w:jc w:val="center"/>
      </w:pPr>
      <w:r>
        <w:t>§</w:t>
      </w:r>
      <w:r w:rsidR="008E726C">
        <w:t xml:space="preserve"> </w:t>
      </w:r>
      <w:r w:rsidR="008E19F9">
        <w:t>5</w:t>
      </w:r>
    </w:p>
    <w:p w:rsidR="008E19F9" w:rsidRDefault="008E19F9" w:rsidP="008E19F9">
      <w:pPr>
        <w:spacing w:line="286" w:lineRule="exact"/>
      </w:pPr>
    </w:p>
    <w:p w:rsidR="008E19F9" w:rsidRDefault="008E19F9" w:rsidP="0088478B">
      <w:pPr>
        <w:numPr>
          <w:ilvl w:val="0"/>
          <w:numId w:val="20"/>
        </w:numPr>
        <w:spacing w:after="0" w:line="228" w:lineRule="auto"/>
        <w:ind w:left="709"/>
        <w:jc w:val="both"/>
      </w:pPr>
      <w:r>
        <w:t>Pracownik może ubiegać si</w:t>
      </w:r>
      <w:r w:rsidR="009A52B7">
        <w:t xml:space="preserve">ę o dofinansowanie w wysokości </w:t>
      </w:r>
      <w:r>
        <w:t xml:space="preserve">50% kosztów kształcenia ustalonych na dzień złożenia </w:t>
      </w:r>
      <w:r w:rsidR="00114D2B">
        <w:t>w</w:t>
      </w:r>
      <w:r w:rsidRPr="00C422FF">
        <w:t>niosku o dofinansowanie</w:t>
      </w:r>
      <w:r>
        <w:t xml:space="preserve"> kształcenia. Wysokość dofinansowania może ulec zmianie. Decyzję o zwiększeniu kwoty dofinansowania podejm</w:t>
      </w:r>
      <w:r w:rsidR="009A52B7">
        <w:t xml:space="preserve">uje Rektor na wniosek </w:t>
      </w:r>
      <w:r w:rsidR="00C72B90">
        <w:t xml:space="preserve">osoby kierującej daną </w:t>
      </w:r>
      <w:r>
        <w:t>jednostk</w:t>
      </w:r>
      <w:r w:rsidR="00C72B90">
        <w:t>ą</w:t>
      </w:r>
      <w:r>
        <w:t>/komórk</w:t>
      </w:r>
      <w:r w:rsidR="00C72B90">
        <w:t>ą</w:t>
      </w:r>
      <w:r>
        <w:t xml:space="preserve"> organizacyjn</w:t>
      </w:r>
      <w:r w:rsidR="00C72B90">
        <w:t>ą</w:t>
      </w:r>
      <w:r>
        <w:t>.</w:t>
      </w:r>
    </w:p>
    <w:p w:rsidR="00541718" w:rsidRDefault="00541718" w:rsidP="0088478B">
      <w:pPr>
        <w:spacing w:after="0" w:line="228" w:lineRule="auto"/>
        <w:ind w:left="709"/>
        <w:jc w:val="both"/>
      </w:pPr>
    </w:p>
    <w:p w:rsidR="00797904" w:rsidRDefault="008E19F9" w:rsidP="0088478B">
      <w:pPr>
        <w:numPr>
          <w:ilvl w:val="0"/>
          <w:numId w:val="20"/>
        </w:numPr>
        <w:spacing w:after="0" w:line="228" w:lineRule="auto"/>
        <w:ind w:left="709"/>
        <w:jc w:val="both"/>
      </w:pPr>
      <w:r>
        <w:t xml:space="preserve">Proces </w:t>
      </w:r>
      <w:r w:rsidR="007833AE">
        <w:t xml:space="preserve">rejestracji </w:t>
      </w:r>
      <w:r>
        <w:t xml:space="preserve">dofinansowania kształcenia rozpoczyna się od złożenia w sekretariacie </w:t>
      </w:r>
      <w:r w:rsidR="00B03565">
        <w:t xml:space="preserve"> Prorektora </w:t>
      </w:r>
      <w:r w:rsidR="001F1B57">
        <w:t>ds. Rozwoju i Integracji Wspólnoty</w:t>
      </w:r>
      <w:r>
        <w:t xml:space="preserve"> </w:t>
      </w:r>
      <w:r w:rsidR="00637BA9">
        <w:t>w</w:t>
      </w:r>
      <w:r w:rsidRPr="00C422FF">
        <w:t>niosku o dofinansowanie kształcenia</w:t>
      </w:r>
      <w:r w:rsidRPr="00541718">
        <w:rPr>
          <w:i/>
        </w:rPr>
        <w:t xml:space="preserve"> </w:t>
      </w:r>
      <w:r>
        <w:t>(Wniosek</w:t>
      </w:r>
      <w:r w:rsidRPr="00541718">
        <w:rPr>
          <w:i/>
        </w:rPr>
        <w:t xml:space="preserve"> </w:t>
      </w:r>
      <w:r w:rsidR="00E91651">
        <w:rPr>
          <w:i/>
        </w:rPr>
        <w:br/>
      </w:r>
      <w:r>
        <w:t xml:space="preserve">o dofinansowanie kształcenia dostępny jest na stronie </w:t>
      </w:r>
      <w:r w:rsidR="00B03565">
        <w:t>DSR</w:t>
      </w:r>
      <w:r>
        <w:t>).</w:t>
      </w:r>
      <w:r w:rsidRPr="00541718">
        <w:rPr>
          <w:i/>
        </w:rPr>
        <w:t xml:space="preserve"> </w:t>
      </w:r>
      <w:r w:rsidRPr="001A41D7">
        <w:t>Wniosek o dofinansowanie kształcenia</w:t>
      </w:r>
      <w:r w:rsidR="009A52B7">
        <w:t xml:space="preserve"> </w:t>
      </w:r>
      <w:r w:rsidR="00163D91">
        <w:t xml:space="preserve">winien być zatwierdzony przez </w:t>
      </w:r>
      <w:r w:rsidR="00B03565">
        <w:t>dysponenta budżetu</w:t>
      </w:r>
      <w:r>
        <w:t xml:space="preserve"> i zaakceptowany zgodnie ze strukturą podległości</w:t>
      </w:r>
      <w:r w:rsidR="00AC1DF9">
        <w:t>.</w:t>
      </w:r>
      <w:r>
        <w:t xml:space="preserve"> </w:t>
      </w:r>
    </w:p>
    <w:p w:rsidR="00541718" w:rsidRDefault="00541718" w:rsidP="0088478B">
      <w:pPr>
        <w:spacing w:after="0" w:line="228" w:lineRule="auto"/>
        <w:ind w:left="709"/>
        <w:jc w:val="both"/>
      </w:pPr>
    </w:p>
    <w:p w:rsidR="00541718" w:rsidRDefault="00AC1DF9" w:rsidP="0088478B">
      <w:pPr>
        <w:numPr>
          <w:ilvl w:val="0"/>
          <w:numId w:val="20"/>
        </w:numPr>
        <w:spacing w:after="0" w:line="228" w:lineRule="auto"/>
        <w:ind w:left="709"/>
        <w:jc w:val="both"/>
      </w:pPr>
      <w:r>
        <w:t>Decyzję o przyznaniu dofinansowania kształcenia podejmuje JM Rektor</w:t>
      </w:r>
      <w:r w:rsidR="00797904">
        <w:t>.</w:t>
      </w:r>
    </w:p>
    <w:p w:rsidR="00497463" w:rsidRDefault="00497463" w:rsidP="0088478B">
      <w:pPr>
        <w:spacing w:after="0" w:line="228" w:lineRule="auto"/>
        <w:ind w:left="709"/>
        <w:jc w:val="both"/>
      </w:pPr>
    </w:p>
    <w:p w:rsidR="00541718" w:rsidRDefault="008E19F9" w:rsidP="0088478B">
      <w:pPr>
        <w:numPr>
          <w:ilvl w:val="0"/>
          <w:numId w:val="20"/>
        </w:numPr>
        <w:spacing w:after="0" w:line="228" w:lineRule="auto"/>
        <w:ind w:left="709"/>
        <w:jc w:val="both"/>
      </w:pPr>
      <w:r>
        <w:t xml:space="preserve">Kwota </w:t>
      </w:r>
      <w:r w:rsidR="00E91651">
        <w:t>dofinansowania kształcenia</w:t>
      </w:r>
      <w:r w:rsidR="00AC1DF9">
        <w:t xml:space="preserve"> jest pokrywana z</w:t>
      </w:r>
      <w:r>
        <w:t xml:space="preserve"> budżet</w:t>
      </w:r>
      <w:r w:rsidR="00AC1DF9">
        <w:t>u</w:t>
      </w:r>
      <w:r>
        <w:t xml:space="preserve"> wnioskującej jednostki/komórki organizacyjnej.</w:t>
      </w:r>
    </w:p>
    <w:p w:rsidR="00497463" w:rsidRDefault="00497463" w:rsidP="0088478B">
      <w:pPr>
        <w:spacing w:after="0" w:line="228" w:lineRule="auto"/>
        <w:ind w:left="709"/>
        <w:jc w:val="both"/>
      </w:pPr>
    </w:p>
    <w:p w:rsidR="00541718" w:rsidRDefault="008E19F9" w:rsidP="0088478B">
      <w:pPr>
        <w:numPr>
          <w:ilvl w:val="0"/>
          <w:numId w:val="20"/>
        </w:numPr>
        <w:spacing w:after="0" w:line="228" w:lineRule="auto"/>
        <w:ind w:left="709"/>
        <w:jc w:val="both"/>
      </w:pPr>
      <w:r>
        <w:t>Dofinansowanie jest realizowane na zasadach refundacji.</w:t>
      </w:r>
    </w:p>
    <w:p w:rsidR="00497463" w:rsidRDefault="00497463" w:rsidP="0088478B">
      <w:pPr>
        <w:spacing w:after="0" w:line="228" w:lineRule="auto"/>
        <w:ind w:left="709"/>
        <w:jc w:val="both"/>
      </w:pPr>
    </w:p>
    <w:p w:rsidR="00541718" w:rsidRDefault="008E19F9" w:rsidP="0088478B">
      <w:pPr>
        <w:numPr>
          <w:ilvl w:val="0"/>
          <w:numId w:val="20"/>
        </w:numPr>
        <w:spacing w:after="0" w:line="228" w:lineRule="auto"/>
        <w:ind w:left="709"/>
        <w:jc w:val="both"/>
      </w:pPr>
      <w:r w:rsidRPr="00852CCB">
        <w:t>W celu realizacji refunda</w:t>
      </w:r>
      <w:r w:rsidR="00F15ADE">
        <w:t xml:space="preserve">cji, </w:t>
      </w:r>
      <w:r w:rsidR="004C2B52">
        <w:t>należy uzyskać na dyspozycji przelewu</w:t>
      </w:r>
      <w:r w:rsidRPr="00852CCB">
        <w:t xml:space="preserve">, potwierdzenie </w:t>
      </w:r>
      <w:r w:rsidR="00AC1DF9">
        <w:t>DSR</w:t>
      </w:r>
      <w:r w:rsidRPr="00852CCB">
        <w:t xml:space="preserve"> </w:t>
      </w:r>
      <w:r w:rsidR="00434DEB">
        <w:br/>
      </w:r>
      <w:r>
        <w:t xml:space="preserve">o zarejestrowaniu </w:t>
      </w:r>
      <w:r w:rsidR="00637BA9">
        <w:t>w</w:t>
      </w:r>
      <w:r w:rsidRPr="00852CCB">
        <w:t>niosk</w:t>
      </w:r>
      <w:r w:rsidR="00E91651">
        <w:t xml:space="preserve">u o dofinansowanie kształcenia </w:t>
      </w:r>
      <w:r w:rsidR="00541718">
        <w:t>w Centralnym Rejestrze Szkoleń.</w:t>
      </w:r>
    </w:p>
    <w:p w:rsidR="00497463" w:rsidRDefault="00497463" w:rsidP="0088478B">
      <w:pPr>
        <w:spacing w:after="0" w:line="228" w:lineRule="auto"/>
        <w:ind w:left="709"/>
        <w:jc w:val="both"/>
      </w:pPr>
    </w:p>
    <w:p w:rsidR="008E19F9" w:rsidRDefault="008E19F9" w:rsidP="0088478B">
      <w:pPr>
        <w:numPr>
          <w:ilvl w:val="0"/>
          <w:numId w:val="20"/>
        </w:numPr>
        <w:spacing w:after="0" w:line="228" w:lineRule="auto"/>
        <w:ind w:left="709"/>
        <w:jc w:val="both"/>
      </w:pPr>
      <w:r w:rsidRPr="00852CCB">
        <w:t>Pracownicy, którzy skorzystali z dofinansowania kształcenia, zobowiązani są do dostarczenia do D</w:t>
      </w:r>
      <w:r w:rsidR="009E70E9">
        <w:t xml:space="preserve">ziału </w:t>
      </w:r>
      <w:r w:rsidRPr="00852CCB">
        <w:t>S</w:t>
      </w:r>
      <w:r w:rsidR="009E70E9">
        <w:t xml:space="preserve">praw </w:t>
      </w:r>
      <w:r w:rsidRPr="00852CCB">
        <w:t>O</w:t>
      </w:r>
      <w:r w:rsidR="009E70E9">
        <w:t>sobowych</w:t>
      </w:r>
      <w:r w:rsidRPr="00852CCB">
        <w:t>, za pośrednictwem Asystenta ds. kadr, potwie</w:t>
      </w:r>
      <w:r w:rsidR="00FC5F5D">
        <w:t xml:space="preserve">rdzonej za zgodność </w:t>
      </w:r>
      <w:r w:rsidR="00E91651">
        <w:br/>
      </w:r>
      <w:r w:rsidR="00FC5F5D">
        <w:t xml:space="preserve">z przedłożonym dokumentem </w:t>
      </w:r>
      <w:r w:rsidRPr="00852CCB">
        <w:t>kopii dokumentu (certyfikat, zaświadczenie, dyplom itp.). Dokumenty te będą przechowywane i archiwizowane w teczkach osobowych pracownika zgodnie z przepisami</w:t>
      </w:r>
      <w:r>
        <w:t xml:space="preserve"> dotyczącymi archiwizacji dokumentów.</w:t>
      </w:r>
    </w:p>
    <w:p w:rsidR="008E19F9" w:rsidRPr="00701CAA" w:rsidRDefault="00701CAA" w:rsidP="0088478B">
      <w:pPr>
        <w:spacing w:before="240" w:line="0" w:lineRule="atLeast"/>
        <w:ind w:right="19"/>
        <w:jc w:val="center"/>
        <w:rPr>
          <w:color w:val="632423"/>
          <w:sz w:val="24"/>
        </w:rPr>
      </w:pPr>
      <w:r>
        <w:rPr>
          <w:color w:val="632423"/>
          <w:sz w:val="24"/>
        </w:rPr>
        <w:t>UMOWY LOJALNOŚCIOWE</w:t>
      </w:r>
    </w:p>
    <w:p w:rsidR="008E19F9" w:rsidRDefault="008E19F9" w:rsidP="0088478B">
      <w:pPr>
        <w:numPr>
          <w:ilvl w:val="2"/>
          <w:numId w:val="7"/>
        </w:numPr>
        <w:tabs>
          <w:tab w:val="left" w:pos="4561"/>
        </w:tabs>
        <w:spacing w:after="120" w:line="0" w:lineRule="atLeast"/>
        <w:ind w:left="4561" w:hanging="161"/>
      </w:pPr>
      <w:r>
        <w:t>6</w:t>
      </w:r>
    </w:p>
    <w:p w:rsidR="008E19F9" w:rsidRDefault="008E19F9" w:rsidP="00434DEB">
      <w:pPr>
        <w:numPr>
          <w:ilvl w:val="0"/>
          <w:numId w:val="8"/>
        </w:numPr>
        <w:tabs>
          <w:tab w:val="left" w:pos="361"/>
        </w:tabs>
        <w:spacing w:after="0" w:line="217" w:lineRule="auto"/>
        <w:jc w:val="both"/>
      </w:pPr>
      <w:r>
        <w:t xml:space="preserve">Umowę lojalnościową zawiera się w przypadku gdy </w:t>
      </w:r>
      <w:r w:rsidR="00AC1DF9">
        <w:t xml:space="preserve">całkowity </w:t>
      </w:r>
      <w:r w:rsidR="00163D91">
        <w:t xml:space="preserve">koszt </w:t>
      </w:r>
      <w:r>
        <w:t>szkolenia</w:t>
      </w:r>
      <w:r w:rsidR="00701CAA">
        <w:t>/kształcenia</w:t>
      </w:r>
      <w:r>
        <w:t xml:space="preserve">  przekracza kwoty określone w Załączniku nr 1.</w:t>
      </w:r>
    </w:p>
    <w:p w:rsidR="00434DEB" w:rsidRDefault="00434DEB" w:rsidP="00434DEB">
      <w:pPr>
        <w:tabs>
          <w:tab w:val="left" w:pos="361"/>
        </w:tabs>
        <w:spacing w:after="0" w:line="217" w:lineRule="auto"/>
        <w:ind w:left="720"/>
        <w:jc w:val="both"/>
      </w:pPr>
    </w:p>
    <w:p w:rsidR="00497463" w:rsidRDefault="008E19F9" w:rsidP="00497463">
      <w:pPr>
        <w:numPr>
          <w:ilvl w:val="0"/>
          <w:numId w:val="8"/>
        </w:numPr>
        <w:tabs>
          <w:tab w:val="left" w:pos="361"/>
        </w:tabs>
        <w:spacing w:after="0" w:line="229" w:lineRule="auto"/>
        <w:jc w:val="both"/>
      </w:pPr>
      <w:r>
        <w:t>Podpisując umowę lojalnościową pracownik zobowiązuje się do przepracowania po zakończeniu szkolenia lub kształcenia, czasu, który jest zależny od wysokości finansowania lub dofinansowania jakie otrzymał. Progi kwotowe i odpowiadające im okresy obowiązywania umów są szczegółowo określone w Załączniku nr 1.</w:t>
      </w:r>
    </w:p>
    <w:p w:rsidR="008E19F9" w:rsidRDefault="00701CAA" w:rsidP="00742CCA">
      <w:pPr>
        <w:numPr>
          <w:ilvl w:val="0"/>
          <w:numId w:val="8"/>
        </w:numPr>
        <w:tabs>
          <w:tab w:val="left" w:pos="709"/>
        </w:tabs>
        <w:spacing w:before="200" w:after="0" w:line="0" w:lineRule="atLeast"/>
        <w:ind w:right="57"/>
        <w:jc w:val="both"/>
      </w:pPr>
      <w:r>
        <w:t>W szczególnie</w:t>
      </w:r>
      <w:r w:rsidR="00824816">
        <w:t xml:space="preserve"> </w:t>
      </w:r>
      <w:r>
        <w:t xml:space="preserve">uzasadnionych przypadkach Rektor może zwolnić pracownika z obowiązku </w:t>
      </w:r>
      <w:r w:rsidR="008E726C">
        <w:t xml:space="preserve">podpisania umowy lojalnościowej. </w:t>
      </w:r>
    </w:p>
    <w:p w:rsidR="00771245" w:rsidRPr="00D226E6" w:rsidRDefault="00771245" w:rsidP="00391204">
      <w:pPr>
        <w:pStyle w:val="Akapitzlist"/>
        <w:shd w:val="clear" w:color="auto" w:fill="FFFFFF"/>
        <w:spacing w:before="240" w:line="240" w:lineRule="auto"/>
        <w:ind w:left="0"/>
        <w:jc w:val="both"/>
        <w:rPr>
          <w:sz w:val="24"/>
          <w:szCs w:val="24"/>
        </w:rPr>
      </w:pPr>
    </w:p>
    <w:p w:rsidR="00380FB4" w:rsidRPr="0028441D" w:rsidRDefault="00380FB4" w:rsidP="00380FB4">
      <w:pPr>
        <w:pStyle w:val="Akapitzlist"/>
        <w:shd w:val="clear" w:color="auto" w:fill="FFFFFF"/>
        <w:spacing w:before="240" w:line="240" w:lineRule="auto"/>
        <w:ind w:left="0"/>
        <w:jc w:val="center"/>
        <w:rPr>
          <w:color w:val="632423"/>
          <w:sz w:val="24"/>
          <w:szCs w:val="24"/>
        </w:rPr>
      </w:pPr>
      <w:r w:rsidRPr="0028441D">
        <w:rPr>
          <w:color w:val="632423"/>
          <w:sz w:val="24"/>
          <w:szCs w:val="24"/>
        </w:rPr>
        <w:t>OKRES OBOWIĄZYWANIA</w:t>
      </w:r>
    </w:p>
    <w:p w:rsidR="00520B43" w:rsidRPr="000E50ED" w:rsidRDefault="00701CAA" w:rsidP="00D7499B">
      <w:pPr>
        <w:spacing w:before="100" w:beforeAutospacing="1" w:after="100" w:afterAutospacing="1" w:line="240" w:lineRule="auto"/>
        <w:jc w:val="center"/>
      </w:pPr>
      <w:r>
        <w:t>§ 7</w:t>
      </w:r>
    </w:p>
    <w:p w:rsidR="00F16985" w:rsidRPr="000E50ED" w:rsidRDefault="00016B18" w:rsidP="00434D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0E50ED">
        <w:t>Proce</w:t>
      </w:r>
      <w:r w:rsidR="00032BB5" w:rsidRPr="000E50ED">
        <w:t>dura wchodzi w życi</w:t>
      </w:r>
      <w:r w:rsidR="00EE1609" w:rsidRPr="000E50ED">
        <w:t xml:space="preserve">e z dniem </w:t>
      </w:r>
      <w:r w:rsidR="00520B43" w:rsidRPr="000E50ED">
        <w:t>ogłoszenia.</w:t>
      </w:r>
    </w:p>
    <w:p w:rsidR="005273A0" w:rsidRPr="000E50ED" w:rsidRDefault="005273A0" w:rsidP="00434D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0E50ED">
        <w:t>Załącznik nr 1 – Okresy na jakie zostanie zawarta umowa lojalnościowa.</w:t>
      </w:r>
    </w:p>
    <w:sectPr w:rsidR="005273A0" w:rsidRPr="000E50ED" w:rsidSect="003F4B7D"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709" w:footer="25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ECC" w:rsidRDefault="00A50ECC" w:rsidP="004A3D82">
      <w:pPr>
        <w:spacing w:after="0" w:line="240" w:lineRule="auto"/>
      </w:pPr>
      <w:r>
        <w:separator/>
      </w:r>
    </w:p>
  </w:endnote>
  <w:endnote w:type="continuationSeparator" w:id="0">
    <w:p w:rsidR="00A50ECC" w:rsidRDefault="00A50ECC" w:rsidP="004A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00" w:rsidRPr="00DF2E42" w:rsidRDefault="00836B00" w:rsidP="00DF2E42">
    <w:pPr>
      <w:pBdr>
        <w:bottom w:val="thickThinSmallGap" w:sz="24" w:space="5" w:color="622423"/>
      </w:pBdr>
      <w:tabs>
        <w:tab w:val="center" w:pos="4536"/>
        <w:tab w:val="right" w:pos="9072"/>
      </w:tabs>
      <w:spacing w:before="100" w:beforeAutospacing="1" w:after="0" w:afterAutospacing="1"/>
      <w:ind w:left="924" w:hanging="357"/>
      <w:jc w:val="center"/>
      <w:rPr>
        <w:rFonts w:ascii="Cambria" w:hAnsi="Cambria" w:cs="Cambria"/>
        <w:sz w:val="20"/>
        <w:szCs w:val="20"/>
      </w:rPr>
    </w:pPr>
  </w:p>
  <w:p w:rsidR="00836B00" w:rsidRDefault="00836B00" w:rsidP="006806D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3D91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B7D" w:rsidRPr="00870D25" w:rsidRDefault="003F4B7D" w:rsidP="00596273">
    <w:pPr>
      <w:pStyle w:val="Nagwek"/>
      <w:pBdr>
        <w:bottom w:val="thickThinSmallGap" w:sz="24" w:space="5" w:color="622423"/>
      </w:pBdr>
      <w:spacing w:line="276" w:lineRule="auto"/>
      <w:rPr>
        <w:rFonts w:ascii="Cambria" w:hAnsi="Cambria" w:cs="Cambria"/>
        <w:sz w:val="20"/>
        <w:szCs w:val="20"/>
      </w:rPr>
    </w:pPr>
  </w:p>
  <w:p w:rsidR="003F4B7D" w:rsidRPr="003F4B7D" w:rsidRDefault="003F4B7D" w:rsidP="003F4B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ECC" w:rsidRDefault="00A50ECC" w:rsidP="004A3D82">
      <w:pPr>
        <w:spacing w:after="0" w:line="240" w:lineRule="auto"/>
      </w:pPr>
      <w:r>
        <w:separator/>
      </w:r>
    </w:p>
  </w:footnote>
  <w:footnote w:type="continuationSeparator" w:id="0">
    <w:p w:rsidR="00A50ECC" w:rsidRDefault="00A50ECC" w:rsidP="004A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ED" w:rsidRPr="000E50ED" w:rsidRDefault="000E50ED" w:rsidP="000E50ED">
    <w:pPr>
      <w:pStyle w:val="Nagwek"/>
      <w:jc w:val="right"/>
      <w:rPr>
        <w:sz w:val="20"/>
      </w:rPr>
    </w:pPr>
    <w:r w:rsidRPr="000E50ED">
      <w:rPr>
        <w:sz w:val="20"/>
      </w:rPr>
      <w:t xml:space="preserve">Załącznik do ZW </w:t>
    </w:r>
    <w:r w:rsidR="00631E7B">
      <w:rPr>
        <w:sz w:val="20"/>
      </w:rPr>
      <w:t>11</w:t>
    </w:r>
    <w:r w:rsidR="00582DF6">
      <w:rPr>
        <w:sz w:val="20"/>
      </w:rPr>
      <w:t>8</w:t>
    </w:r>
    <w:r w:rsidRPr="000E50ED">
      <w:rPr>
        <w:sz w:val="20"/>
      </w:rPr>
      <w:t>/202</w:t>
    </w:r>
    <w:r w:rsidR="001F1B57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6E87CC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CA7544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9B92E0A2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26F715B"/>
    <w:multiLevelType w:val="hybridMultilevel"/>
    <w:tmpl w:val="FEB86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40AF"/>
    <w:multiLevelType w:val="hybridMultilevel"/>
    <w:tmpl w:val="60F07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577D"/>
    <w:multiLevelType w:val="hybridMultilevel"/>
    <w:tmpl w:val="2FFAD47A"/>
    <w:lvl w:ilvl="0" w:tplc="CBB468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52E7"/>
    <w:multiLevelType w:val="hybridMultilevel"/>
    <w:tmpl w:val="72F0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37C4C"/>
    <w:multiLevelType w:val="hybridMultilevel"/>
    <w:tmpl w:val="9E82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007EC"/>
    <w:multiLevelType w:val="hybridMultilevel"/>
    <w:tmpl w:val="437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504D"/>
    <w:multiLevelType w:val="hybridMultilevel"/>
    <w:tmpl w:val="FBC430DE"/>
    <w:lvl w:ilvl="0" w:tplc="F216E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15E6C"/>
    <w:multiLevelType w:val="hybridMultilevel"/>
    <w:tmpl w:val="42DC5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D0315"/>
    <w:multiLevelType w:val="hybridMultilevel"/>
    <w:tmpl w:val="EAE62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220E"/>
    <w:multiLevelType w:val="hybridMultilevel"/>
    <w:tmpl w:val="5ECAF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442F7"/>
    <w:multiLevelType w:val="hybridMultilevel"/>
    <w:tmpl w:val="6972D364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4EB237AD"/>
    <w:multiLevelType w:val="hybridMultilevel"/>
    <w:tmpl w:val="7D721602"/>
    <w:lvl w:ilvl="0" w:tplc="73166BE4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5455067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4E34FA7"/>
    <w:multiLevelType w:val="hybridMultilevel"/>
    <w:tmpl w:val="0984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A03F4"/>
    <w:multiLevelType w:val="hybridMultilevel"/>
    <w:tmpl w:val="D112425C"/>
    <w:lvl w:ilvl="0" w:tplc="521A1B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462AF"/>
    <w:multiLevelType w:val="hybridMultilevel"/>
    <w:tmpl w:val="1CB6D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F78D3"/>
    <w:multiLevelType w:val="hybridMultilevel"/>
    <w:tmpl w:val="3052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670C6"/>
    <w:multiLevelType w:val="hybridMultilevel"/>
    <w:tmpl w:val="7D885628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22"/>
  </w:num>
  <w:num w:numId="10">
    <w:abstractNumId w:val="10"/>
  </w:num>
  <w:num w:numId="11">
    <w:abstractNumId w:val="16"/>
  </w:num>
  <w:num w:numId="12">
    <w:abstractNumId w:val="15"/>
  </w:num>
  <w:num w:numId="13">
    <w:abstractNumId w:val="5"/>
  </w:num>
  <w:num w:numId="14">
    <w:abstractNumId w:val="8"/>
  </w:num>
  <w:num w:numId="15">
    <w:abstractNumId w:val="19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9"/>
  </w:num>
  <w:num w:numId="21">
    <w:abstractNumId w:val="13"/>
  </w:num>
  <w:num w:numId="22">
    <w:abstractNumId w:val="20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cumentProtection w:edit="readOnly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3E"/>
    <w:rsid w:val="00012299"/>
    <w:rsid w:val="0001406A"/>
    <w:rsid w:val="00016B18"/>
    <w:rsid w:val="00017662"/>
    <w:rsid w:val="000217EF"/>
    <w:rsid w:val="00032BB5"/>
    <w:rsid w:val="00036F9F"/>
    <w:rsid w:val="00045B40"/>
    <w:rsid w:val="00046DB8"/>
    <w:rsid w:val="00052AE5"/>
    <w:rsid w:val="00065EE4"/>
    <w:rsid w:val="00066B25"/>
    <w:rsid w:val="00084E8D"/>
    <w:rsid w:val="000B0D9A"/>
    <w:rsid w:val="000C261B"/>
    <w:rsid w:val="000C4074"/>
    <w:rsid w:val="000C5C8A"/>
    <w:rsid w:val="000D3E1B"/>
    <w:rsid w:val="000E01F5"/>
    <w:rsid w:val="000E50ED"/>
    <w:rsid w:val="000F0B87"/>
    <w:rsid w:val="000F1733"/>
    <w:rsid w:val="000F291E"/>
    <w:rsid w:val="000F4A9B"/>
    <w:rsid w:val="000F666E"/>
    <w:rsid w:val="00105BAB"/>
    <w:rsid w:val="0011147E"/>
    <w:rsid w:val="0011272F"/>
    <w:rsid w:val="00114D2B"/>
    <w:rsid w:val="00117EA7"/>
    <w:rsid w:val="001242DC"/>
    <w:rsid w:val="0012599D"/>
    <w:rsid w:val="00131913"/>
    <w:rsid w:val="00132E49"/>
    <w:rsid w:val="0013445D"/>
    <w:rsid w:val="00134C0A"/>
    <w:rsid w:val="00136E63"/>
    <w:rsid w:val="00136E9E"/>
    <w:rsid w:val="001451FB"/>
    <w:rsid w:val="00147705"/>
    <w:rsid w:val="00147992"/>
    <w:rsid w:val="0015377E"/>
    <w:rsid w:val="00163D91"/>
    <w:rsid w:val="00165AE5"/>
    <w:rsid w:val="001723AF"/>
    <w:rsid w:val="00174198"/>
    <w:rsid w:val="001778F5"/>
    <w:rsid w:val="00180D8B"/>
    <w:rsid w:val="00183DF5"/>
    <w:rsid w:val="00183E1F"/>
    <w:rsid w:val="001844F4"/>
    <w:rsid w:val="00191F7D"/>
    <w:rsid w:val="00197334"/>
    <w:rsid w:val="001A21C0"/>
    <w:rsid w:val="001A30F3"/>
    <w:rsid w:val="001A6C51"/>
    <w:rsid w:val="001B2D00"/>
    <w:rsid w:val="001C5388"/>
    <w:rsid w:val="001C56A2"/>
    <w:rsid w:val="001C7BFC"/>
    <w:rsid w:val="001D25CD"/>
    <w:rsid w:val="001D5B7A"/>
    <w:rsid w:val="001E34A4"/>
    <w:rsid w:val="001E3B86"/>
    <w:rsid w:val="001E7798"/>
    <w:rsid w:val="001F00E3"/>
    <w:rsid w:val="001F0DAB"/>
    <w:rsid w:val="001F1B57"/>
    <w:rsid w:val="001F4A5D"/>
    <w:rsid w:val="001F6D7E"/>
    <w:rsid w:val="00207C0A"/>
    <w:rsid w:val="00210E52"/>
    <w:rsid w:val="0021359E"/>
    <w:rsid w:val="002151E4"/>
    <w:rsid w:val="002169AA"/>
    <w:rsid w:val="00217220"/>
    <w:rsid w:val="0022065F"/>
    <w:rsid w:val="00220B4A"/>
    <w:rsid w:val="00223128"/>
    <w:rsid w:val="00224EF7"/>
    <w:rsid w:val="00226035"/>
    <w:rsid w:val="0023135C"/>
    <w:rsid w:val="00233927"/>
    <w:rsid w:val="00235B3A"/>
    <w:rsid w:val="00236642"/>
    <w:rsid w:val="002372E7"/>
    <w:rsid w:val="00241BEC"/>
    <w:rsid w:val="0024548A"/>
    <w:rsid w:val="002643F7"/>
    <w:rsid w:val="00282D3E"/>
    <w:rsid w:val="0028441D"/>
    <w:rsid w:val="00284442"/>
    <w:rsid w:val="0028597C"/>
    <w:rsid w:val="002929D1"/>
    <w:rsid w:val="0029586A"/>
    <w:rsid w:val="002A00F2"/>
    <w:rsid w:val="002A652E"/>
    <w:rsid w:val="002B085C"/>
    <w:rsid w:val="002B52D9"/>
    <w:rsid w:val="002B56F2"/>
    <w:rsid w:val="002B7CE3"/>
    <w:rsid w:val="002B7DDC"/>
    <w:rsid w:val="002C181D"/>
    <w:rsid w:val="002C4994"/>
    <w:rsid w:val="002C63DA"/>
    <w:rsid w:val="002C6746"/>
    <w:rsid w:val="002D30CA"/>
    <w:rsid w:val="002D3CE7"/>
    <w:rsid w:val="002E3538"/>
    <w:rsid w:val="002E3945"/>
    <w:rsid w:val="002F6AD8"/>
    <w:rsid w:val="002F6B02"/>
    <w:rsid w:val="003001A4"/>
    <w:rsid w:val="00302BC3"/>
    <w:rsid w:val="00302BF9"/>
    <w:rsid w:val="00305D2F"/>
    <w:rsid w:val="00310B9A"/>
    <w:rsid w:val="0031738E"/>
    <w:rsid w:val="00322EA3"/>
    <w:rsid w:val="00326D13"/>
    <w:rsid w:val="00334F38"/>
    <w:rsid w:val="00336258"/>
    <w:rsid w:val="00340100"/>
    <w:rsid w:val="003416D2"/>
    <w:rsid w:val="00347FA8"/>
    <w:rsid w:val="0035519F"/>
    <w:rsid w:val="003566A4"/>
    <w:rsid w:val="003601D2"/>
    <w:rsid w:val="00360C9D"/>
    <w:rsid w:val="00361E4D"/>
    <w:rsid w:val="0036264C"/>
    <w:rsid w:val="00364AA9"/>
    <w:rsid w:val="0036571C"/>
    <w:rsid w:val="00367727"/>
    <w:rsid w:val="00376737"/>
    <w:rsid w:val="00377160"/>
    <w:rsid w:val="00380FB4"/>
    <w:rsid w:val="00383131"/>
    <w:rsid w:val="00385B5B"/>
    <w:rsid w:val="00391204"/>
    <w:rsid w:val="0039241A"/>
    <w:rsid w:val="003A3B6C"/>
    <w:rsid w:val="003A3C1A"/>
    <w:rsid w:val="003B0839"/>
    <w:rsid w:val="003B0FE0"/>
    <w:rsid w:val="003B132E"/>
    <w:rsid w:val="003B14D6"/>
    <w:rsid w:val="003B4AA8"/>
    <w:rsid w:val="003B5C6C"/>
    <w:rsid w:val="003C3F98"/>
    <w:rsid w:val="003C4FB4"/>
    <w:rsid w:val="003D06D1"/>
    <w:rsid w:val="003D335F"/>
    <w:rsid w:val="003D36D4"/>
    <w:rsid w:val="003D4F9D"/>
    <w:rsid w:val="003D661F"/>
    <w:rsid w:val="003D6B51"/>
    <w:rsid w:val="003D71FB"/>
    <w:rsid w:val="003E008F"/>
    <w:rsid w:val="003E3910"/>
    <w:rsid w:val="003F168C"/>
    <w:rsid w:val="003F4B7D"/>
    <w:rsid w:val="003F5639"/>
    <w:rsid w:val="003F64D0"/>
    <w:rsid w:val="003F67E9"/>
    <w:rsid w:val="00403D59"/>
    <w:rsid w:val="00412E62"/>
    <w:rsid w:val="0042135C"/>
    <w:rsid w:val="004235F6"/>
    <w:rsid w:val="00424EDC"/>
    <w:rsid w:val="00431A8D"/>
    <w:rsid w:val="00433643"/>
    <w:rsid w:val="004340CE"/>
    <w:rsid w:val="00434DEB"/>
    <w:rsid w:val="0044571B"/>
    <w:rsid w:val="00447347"/>
    <w:rsid w:val="00456C08"/>
    <w:rsid w:val="00456D5D"/>
    <w:rsid w:val="00464789"/>
    <w:rsid w:val="004820DF"/>
    <w:rsid w:val="004843C2"/>
    <w:rsid w:val="00491130"/>
    <w:rsid w:val="00491B1C"/>
    <w:rsid w:val="004924E7"/>
    <w:rsid w:val="00492A08"/>
    <w:rsid w:val="00497463"/>
    <w:rsid w:val="004A2227"/>
    <w:rsid w:val="004A3D82"/>
    <w:rsid w:val="004A5384"/>
    <w:rsid w:val="004A5773"/>
    <w:rsid w:val="004B317B"/>
    <w:rsid w:val="004B5FDF"/>
    <w:rsid w:val="004C0924"/>
    <w:rsid w:val="004C2B52"/>
    <w:rsid w:val="004D20CF"/>
    <w:rsid w:val="004D33CE"/>
    <w:rsid w:val="00501245"/>
    <w:rsid w:val="00520B43"/>
    <w:rsid w:val="00521A9B"/>
    <w:rsid w:val="005273A0"/>
    <w:rsid w:val="005302CD"/>
    <w:rsid w:val="00530ADD"/>
    <w:rsid w:val="00531679"/>
    <w:rsid w:val="00531ED5"/>
    <w:rsid w:val="00534F79"/>
    <w:rsid w:val="0054147A"/>
    <w:rsid w:val="00541718"/>
    <w:rsid w:val="00541CDE"/>
    <w:rsid w:val="00542DDA"/>
    <w:rsid w:val="0054331C"/>
    <w:rsid w:val="00545C99"/>
    <w:rsid w:val="005509CD"/>
    <w:rsid w:val="005513C3"/>
    <w:rsid w:val="00552B48"/>
    <w:rsid w:val="00554266"/>
    <w:rsid w:val="00582DF6"/>
    <w:rsid w:val="00582FBD"/>
    <w:rsid w:val="00584D6C"/>
    <w:rsid w:val="00594548"/>
    <w:rsid w:val="00596273"/>
    <w:rsid w:val="005A4BC2"/>
    <w:rsid w:val="005A63B3"/>
    <w:rsid w:val="005A660B"/>
    <w:rsid w:val="005B2DCA"/>
    <w:rsid w:val="005C4143"/>
    <w:rsid w:val="005C61ED"/>
    <w:rsid w:val="005C6D8A"/>
    <w:rsid w:val="005D128F"/>
    <w:rsid w:val="005E2F39"/>
    <w:rsid w:val="005F0584"/>
    <w:rsid w:val="005F2064"/>
    <w:rsid w:val="00600DD3"/>
    <w:rsid w:val="00613D3C"/>
    <w:rsid w:val="0061422A"/>
    <w:rsid w:val="00615F45"/>
    <w:rsid w:val="006167D8"/>
    <w:rsid w:val="00617041"/>
    <w:rsid w:val="00620C5C"/>
    <w:rsid w:val="00621C27"/>
    <w:rsid w:val="006221B1"/>
    <w:rsid w:val="00622E29"/>
    <w:rsid w:val="0062573C"/>
    <w:rsid w:val="00630173"/>
    <w:rsid w:val="006318D0"/>
    <w:rsid w:val="00631E7B"/>
    <w:rsid w:val="006342A5"/>
    <w:rsid w:val="00637B83"/>
    <w:rsid w:val="00637BA9"/>
    <w:rsid w:val="00640062"/>
    <w:rsid w:val="0064097A"/>
    <w:rsid w:val="00642D40"/>
    <w:rsid w:val="00644355"/>
    <w:rsid w:val="006459FC"/>
    <w:rsid w:val="00661B6E"/>
    <w:rsid w:val="006620DD"/>
    <w:rsid w:val="006658D6"/>
    <w:rsid w:val="00667C93"/>
    <w:rsid w:val="0067004B"/>
    <w:rsid w:val="00680654"/>
    <w:rsid w:val="006806DE"/>
    <w:rsid w:val="00681A7C"/>
    <w:rsid w:val="006A6530"/>
    <w:rsid w:val="006A75A4"/>
    <w:rsid w:val="006B18D3"/>
    <w:rsid w:val="006C6B2F"/>
    <w:rsid w:val="006D4736"/>
    <w:rsid w:val="006E76C4"/>
    <w:rsid w:val="006F2142"/>
    <w:rsid w:val="006F3208"/>
    <w:rsid w:val="006F46AA"/>
    <w:rsid w:val="006F65C7"/>
    <w:rsid w:val="006F7952"/>
    <w:rsid w:val="007006B7"/>
    <w:rsid w:val="00701CAA"/>
    <w:rsid w:val="007043E3"/>
    <w:rsid w:val="0071010F"/>
    <w:rsid w:val="00714153"/>
    <w:rsid w:val="0071736F"/>
    <w:rsid w:val="0072546A"/>
    <w:rsid w:val="00726DBC"/>
    <w:rsid w:val="007351E6"/>
    <w:rsid w:val="0074014E"/>
    <w:rsid w:val="0074096E"/>
    <w:rsid w:val="00742606"/>
    <w:rsid w:val="00742C17"/>
    <w:rsid w:val="00742CCA"/>
    <w:rsid w:val="0076384B"/>
    <w:rsid w:val="00765226"/>
    <w:rsid w:val="00766DCB"/>
    <w:rsid w:val="00771245"/>
    <w:rsid w:val="00775FBD"/>
    <w:rsid w:val="007833AE"/>
    <w:rsid w:val="00783A8F"/>
    <w:rsid w:val="007863E5"/>
    <w:rsid w:val="00786A69"/>
    <w:rsid w:val="00790602"/>
    <w:rsid w:val="00797904"/>
    <w:rsid w:val="007A07D1"/>
    <w:rsid w:val="007A3F57"/>
    <w:rsid w:val="007A6E9F"/>
    <w:rsid w:val="007B1970"/>
    <w:rsid w:val="007B3839"/>
    <w:rsid w:val="007C1BC3"/>
    <w:rsid w:val="007C38CF"/>
    <w:rsid w:val="007D0212"/>
    <w:rsid w:val="007D0CE2"/>
    <w:rsid w:val="007D631E"/>
    <w:rsid w:val="007D77B0"/>
    <w:rsid w:val="007E5F0D"/>
    <w:rsid w:val="007E6CCD"/>
    <w:rsid w:val="007F5EA5"/>
    <w:rsid w:val="00802250"/>
    <w:rsid w:val="00810D99"/>
    <w:rsid w:val="00815832"/>
    <w:rsid w:val="008159F2"/>
    <w:rsid w:val="00820669"/>
    <w:rsid w:val="00821EFC"/>
    <w:rsid w:val="0082265A"/>
    <w:rsid w:val="00824816"/>
    <w:rsid w:val="00830983"/>
    <w:rsid w:val="00830B36"/>
    <w:rsid w:val="00831690"/>
    <w:rsid w:val="008327A4"/>
    <w:rsid w:val="00834128"/>
    <w:rsid w:val="00836B00"/>
    <w:rsid w:val="00845565"/>
    <w:rsid w:val="00845EE1"/>
    <w:rsid w:val="00846EEA"/>
    <w:rsid w:val="00850559"/>
    <w:rsid w:val="00851A1C"/>
    <w:rsid w:val="008535E4"/>
    <w:rsid w:val="0085614B"/>
    <w:rsid w:val="00860FF0"/>
    <w:rsid w:val="00861F0C"/>
    <w:rsid w:val="008627DC"/>
    <w:rsid w:val="008635D7"/>
    <w:rsid w:val="00871BA3"/>
    <w:rsid w:val="0087306B"/>
    <w:rsid w:val="00876256"/>
    <w:rsid w:val="00882482"/>
    <w:rsid w:val="0088478B"/>
    <w:rsid w:val="008874EA"/>
    <w:rsid w:val="008C1FEA"/>
    <w:rsid w:val="008C6E64"/>
    <w:rsid w:val="008D079E"/>
    <w:rsid w:val="008D22D1"/>
    <w:rsid w:val="008D3F20"/>
    <w:rsid w:val="008D5222"/>
    <w:rsid w:val="008E19F9"/>
    <w:rsid w:val="008E47C4"/>
    <w:rsid w:val="008E67BC"/>
    <w:rsid w:val="008E726C"/>
    <w:rsid w:val="008F2224"/>
    <w:rsid w:val="008F4DFA"/>
    <w:rsid w:val="008F629E"/>
    <w:rsid w:val="00910212"/>
    <w:rsid w:val="009145AA"/>
    <w:rsid w:val="0091659E"/>
    <w:rsid w:val="00921D38"/>
    <w:rsid w:val="00926E4A"/>
    <w:rsid w:val="0093099C"/>
    <w:rsid w:val="009315A1"/>
    <w:rsid w:val="009345CD"/>
    <w:rsid w:val="00934DC4"/>
    <w:rsid w:val="00934FC7"/>
    <w:rsid w:val="00936679"/>
    <w:rsid w:val="009374D4"/>
    <w:rsid w:val="00942782"/>
    <w:rsid w:val="00953D3A"/>
    <w:rsid w:val="00955A39"/>
    <w:rsid w:val="0095774D"/>
    <w:rsid w:val="0096235E"/>
    <w:rsid w:val="00971164"/>
    <w:rsid w:val="009726C6"/>
    <w:rsid w:val="00973A82"/>
    <w:rsid w:val="00975E4D"/>
    <w:rsid w:val="00983ACF"/>
    <w:rsid w:val="0098714E"/>
    <w:rsid w:val="009905E7"/>
    <w:rsid w:val="00990B59"/>
    <w:rsid w:val="0099242B"/>
    <w:rsid w:val="009A1FA4"/>
    <w:rsid w:val="009A52B7"/>
    <w:rsid w:val="009D062F"/>
    <w:rsid w:val="009D28D3"/>
    <w:rsid w:val="009D3C8C"/>
    <w:rsid w:val="009D4A1D"/>
    <w:rsid w:val="009D7229"/>
    <w:rsid w:val="009D7F68"/>
    <w:rsid w:val="009E312A"/>
    <w:rsid w:val="009E3E29"/>
    <w:rsid w:val="009E61F1"/>
    <w:rsid w:val="009E70E9"/>
    <w:rsid w:val="009F2F30"/>
    <w:rsid w:val="00A03A4F"/>
    <w:rsid w:val="00A16CAB"/>
    <w:rsid w:val="00A17835"/>
    <w:rsid w:val="00A31A30"/>
    <w:rsid w:val="00A33755"/>
    <w:rsid w:val="00A35A54"/>
    <w:rsid w:val="00A36654"/>
    <w:rsid w:val="00A3667C"/>
    <w:rsid w:val="00A41EE1"/>
    <w:rsid w:val="00A44BAB"/>
    <w:rsid w:val="00A50ECC"/>
    <w:rsid w:val="00A511C1"/>
    <w:rsid w:val="00A519B8"/>
    <w:rsid w:val="00A530D3"/>
    <w:rsid w:val="00A53AC1"/>
    <w:rsid w:val="00A64886"/>
    <w:rsid w:val="00A77A67"/>
    <w:rsid w:val="00A80231"/>
    <w:rsid w:val="00A80345"/>
    <w:rsid w:val="00A83D9C"/>
    <w:rsid w:val="00A969EC"/>
    <w:rsid w:val="00A96E2A"/>
    <w:rsid w:val="00AA344C"/>
    <w:rsid w:val="00AA54C9"/>
    <w:rsid w:val="00AA6E70"/>
    <w:rsid w:val="00AB5A20"/>
    <w:rsid w:val="00AB5DD7"/>
    <w:rsid w:val="00AB751E"/>
    <w:rsid w:val="00AC19D2"/>
    <w:rsid w:val="00AC1AE0"/>
    <w:rsid w:val="00AC1DF9"/>
    <w:rsid w:val="00AD4754"/>
    <w:rsid w:val="00AD49FA"/>
    <w:rsid w:val="00AD584F"/>
    <w:rsid w:val="00AE3166"/>
    <w:rsid w:val="00AE76E1"/>
    <w:rsid w:val="00B00A94"/>
    <w:rsid w:val="00B03565"/>
    <w:rsid w:val="00B062C3"/>
    <w:rsid w:val="00B0633E"/>
    <w:rsid w:val="00B12331"/>
    <w:rsid w:val="00B14B15"/>
    <w:rsid w:val="00B20434"/>
    <w:rsid w:val="00B251C3"/>
    <w:rsid w:val="00B261F0"/>
    <w:rsid w:val="00B2686D"/>
    <w:rsid w:val="00B36B6C"/>
    <w:rsid w:val="00B42909"/>
    <w:rsid w:val="00B42F3F"/>
    <w:rsid w:val="00B469DC"/>
    <w:rsid w:val="00B537F9"/>
    <w:rsid w:val="00B60332"/>
    <w:rsid w:val="00B6091E"/>
    <w:rsid w:val="00B66CD9"/>
    <w:rsid w:val="00B67D22"/>
    <w:rsid w:val="00B67D97"/>
    <w:rsid w:val="00B67DA3"/>
    <w:rsid w:val="00B726C4"/>
    <w:rsid w:val="00B74E2C"/>
    <w:rsid w:val="00B835CE"/>
    <w:rsid w:val="00B87D83"/>
    <w:rsid w:val="00B970B9"/>
    <w:rsid w:val="00B97804"/>
    <w:rsid w:val="00BA2330"/>
    <w:rsid w:val="00BA2A47"/>
    <w:rsid w:val="00BB42EE"/>
    <w:rsid w:val="00BB45BC"/>
    <w:rsid w:val="00BC61C7"/>
    <w:rsid w:val="00BC6876"/>
    <w:rsid w:val="00BC7799"/>
    <w:rsid w:val="00BD1BDA"/>
    <w:rsid w:val="00BD2EBE"/>
    <w:rsid w:val="00BD7B15"/>
    <w:rsid w:val="00BE04D0"/>
    <w:rsid w:val="00BE587C"/>
    <w:rsid w:val="00BF0E77"/>
    <w:rsid w:val="00C12EBE"/>
    <w:rsid w:val="00C14949"/>
    <w:rsid w:val="00C20D21"/>
    <w:rsid w:val="00C264F5"/>
    <w:rsid w:val="00C275C4"/>
    <w:rsid w:val="00C27752"/>
    <w:rsid w:val="00C3025E"/>
    <w:rsid w:val="00C31CF9"/>
    <w:rsid w:val="00C3228A"/>
    <w:rsid w:val="00C32429"/>
    <w:rsid w:val="00C3303C"/>
    <w:rsid w:val="00C33623"/>
    <w:rsid w:val="00C34481"/>
    <w:rsid w:val="00C42E05"/>
    <w:rsid w:val="00C43FC9"/>
    <w:rsid w:val="00C54342"/>
    <w:rsid w:val="00C54533"/>
    <w:rsid w:val="00C610A9"/>
    <w:rsid w:val="00C62CF5"/>
    <w:rsid w:val="00C65CE0"/>
    <w:rsid w:val="00C662DD"/>
    <w:rsid w:val="00C672F1"/>
    <w:rsid w:val="00C72B90"/>
    <w:rsid w:val="00C73B7D"/>
    <w:rsid w:val="00C75859"/>
    <w:rsid w:val="00C772C5"/>
    <w:rsid w:val="00C81617"/>
    <w:rsid w:val="00C9178A"/>
    <w:rsid w:val="00C931A5"/>
    <w:rsid w:val="00C943E3"/>
    <w:rsid w:val="00C9451B"/>
    <w:rsid w:val="00C94FCD"/>
    <w:rsid w:val="00CA3E0E"/>
    <w:rsid w:val="00CB2F9F"/>
    <w:rsid w:val="00CB6A1B"/>
    <w:rsid w:val="00CC45BA"/>
    <w:rsid w:val="00CD0E14"/>
    <w:rsid w:val="00CD1B94"/>
    <w:rsid w:val="00CD3742"/>
    <w:rsid w:val="00CD5A5F"/>
    <w:rsid w:val="00CE728D"/>
    <w:rsid w:val="00CF2DC2"/>
    <w:rsid w:val="00D00763"/>
    <w:rsid w:val="00D01739"/>
    <w:rsid w:val="00D03463"/>
    <w:rsid w:val="00D0473A"/>
    <w:rsid w:val="00D05F2F"/>
    <w:rsid w:val="00D077F1"/>
    <w:rsid w:val="00D13181"/>
    <w:rsid w:val="00D1402A"/>
    <w:rsid w:val="00D14901"/>
    <w:rsid w:val="00D22353"/>
    <w:rsid w:val="00D226E6"/>
    <w:rsid w:val="00D2428C"/>
    <w:rsid w:val="00D266D5"/>
    <w:rsid w:val="00D2790F"/>
    <w:rsid w:val="00D32DDD"/>
    <w:rsid w:val="00D35BB2"/>
    <w:rsid w:val="00D44702"/>
    <w:rsid w:val="00D45194"/>
    <w:rsid w:val="00D45AA0"/>
    <w:rsid w:val="00D47ED1"/>
    <w:rsid w:val="00D56E47"/>
    <w:rsid w:val="00D63301"/>
    <w:rsid w:val="00D7414C"/>
    <w:rsid w:val="00D743FA"/>
    <w:rsid w:val="00D7499B"/>
    <w:rsid w:val="00D750CF"/>
    <w:rsid w:val="00D8398E"/>
    <w:rsid w:val="00D911DF"/>
    <w:rsid w:val="00D975B4"/>
    <w:rsid w:val="00DB01B3"/>
    <w:rsid w:val="00DC0420"/>
    <w:rsid w:val="00DC7A81"/>
    <w:rsid w:val="00DD18CA"/>
    <w:rsid w:val="00DD46BB"/>
    <w:rsid w:val="00DE07F3"/>
    <w:rsid w:val="00DE4D89"/>
    <w:rsid w:val="00DE5E0C"/>
    <w:rsid w:val="00DE6278"/>
    <w:rsid w:val="00DF2C53"/>
    <w:rsid w:val="00DF2E42"/>
    <w:rsid w:val="00DF53F2"/>
    <w:rsid w:val="00DF5A4D"/>
    <w:rsid w:val="00E0023F"/>
    <w:rsid w:val="00E006ED"/>
    <w:rsid w:val="00E02214"/>
    <w:rsid w:val="00E03321"/>
    <w:rsid w:val="00E07B82"/>
    <w:rsid w:val="00E10D87"/>
    <w:rsid w:val="00E16952"/>
    <w:rsid w:val="00E223CA"/>
    <w:rsid w:val="00E258ED"/>
    <w:rsid w:val="00E306DF"/>
    <w:rsid w:val="00E412BC"/>
    <w:rsid w:val="00E52AE2"/>
    <w:rsid w:val="00E67152"/>
    <w:rsid w:val="00E72D06"/>
    <w:rsid w:val="00E73FCC"/>
    <w:rsid w:val="00E83A3A"/>
    <w:rsid w:val="00E85B12"/>
    <w:rsid w:val="00E8684F"/>
    <w:rsid w:val="00E9042B"/>
    <w:rsid w:val="00E91651"/>
    <w:rsid w:val="00E9474D"/>
    <w:rsid w:val="00EB1F91"/>
    <w:rsid w:val="00EB34C2"/>
    <w:rsid w:val="00EB4B26"/>
    <w:rsid w:val="00EC63F9"/>
    <w:rsid w:val="00ED2B9F"/>
    <w:rsid w:val="00ED72F8"/>
    <w:rsid w:val="00ED7C34"/>
    <w:rsid w:val="00EE0FD9"/>
    <w:rsid w:val="00EE1609"/>
    <w:rsid w:val="00EE1C70"/>
    <w:rsid w:val="00EE3B93"/>
    <w:rsid w:val="00EE768E"/>
    <w:rsid w:val="00EF16A1"/>
    <w:rsid w:val="00EF5A98"/>
    <w:rsid w:val="00F058C7"/>
    <w:rsid w:val="00F05A1D"/>
    <w:rsid w:val="00F06FDB"/>
    <w:rsid w:val="00F0747D"/>
    <w:rsid w:val="00F13B21"/>
    <w:rsid w:val="00F1506C"/>
    <w:rsid w:val="00F15ADE"/>
    <w:rsid w:val="00F16985"/>
    <w:rsid w:val="00F213CA"/>
    <w:rsid w:val="00F2634E"/>
    <w:rsid w:val="00F26C11"/>
    <w:rsid w:val="00F36BCA"/>
    <w:rsid w:val="00F400BD"/>
    <w:rsid w:val="00F40A64"/>
    <w:rsid w:val="00F47BDC"/>
    <w:rsid w:val="00F52ACD"/>
    <w:rsid w:val="00F5353A"/>
    <w:rsid w:val="00F56F4B"/>
    <w:rsid w:val="00F67214"/>
    <w:rsid w:val="00F70E4C"/>
    <w:rsid w:val="00F71162"/>
    <w:rsid w:val="00F74042"/>
    <w:rsid w:val="00F810CA"/>
    <w:rsid w:val="00F85D6D"/>
    <w:rsid w:val="00F86493"/>
    <w:rsid w:val="00F86793"/>
    <w:rsid w:val="00F91F33"/>
    <w:rsid w:val="00F9331F"/>
    <w:rsid w:val="00F9332A"/>
    <w:rsid w:val="00F9618F"/>
    <w:rsid w:val="00FA494C"/>
    <w:rsid w:val="00FC5F5D"/>
    <w:rsid w:val="00FD0CA0"/>
    <w:rsid w:val="00FD6D7A"/>
    <w:rsid w:val="00FE199B"/>
    <w:rsid w:val="00FE2E2B"/>
    <w:rsid w:val="00FE4870"/>
    <w:rsid w:val="00FE50F0"/>
    <w:rsid w:val="00FF04E9"/>
    <w:rsid w:val="00FF0FAE"/>
    <w:rsid w:val="00FF11CF"/>
    <w:rsid w:val="00FF1895"/>
    <w:rsid w:val="00FF4BC0"/>
    <w:rsid w:val="00FF5802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78190D0A"/>
  <w15:chartTrackingRefBased/>
  <w15:docId w15:val="{AC3EAF97-B008-42E8-958F-D30F42D6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1BC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422A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1422A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1422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1422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1422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A6C5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A6C5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A6C5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A6C5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422A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61422A"/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9"/>
    <w:locked/>
    <w:rsid w:val="0061422A"/>
    <w:rPr>
      <w:rFonts w:ascii="Cambria" w:eastAsia="Times New Roman" w:hAnsi="Cambria" w:cs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9"/>
    <w:locked/>
    <w:rsid w:val="0061422A"/>
    <w:rPr>
      <w:rFonts w:ascii="Cambria" w:eastAsia="Times New Roman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9"/>
    <w:locked/>
    <w:rsid w:val="0061422A"/>
    <w:rPr>
      <w:rFonts w:ascii="Cambria" w:eastAsia="Times New Roman" w:hAnsi="Cambria" w:cs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9"/>
    <w:locked/>
    <w:rsid w:val="001A6C51"/>
    <w:rPr>
      <w:rFonts w:ascii="Cambria" w:eastAsia="Times New Roman" w:hAnsi="Cambria" w:cs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locked/>
    <w:rsid w:val="001A6C51"/>
    <w:rPr>
      <w:rFonts w:ascii="Cambria" w:eastAsia="Times New Roman" w:hAnsi="Cambria" w:cs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locked/>
    <w:rsid w:val="001A6C51"/>
    <w:rPr>
      <w:rFonts w:ascii="Cambria" w:eastAsia="Times New Roman" w:hAnsi="Cambria" w:cs="Cambria"/>
      <w:color w:val="404040"/>
      <w:lang w:eastAsia="en-US"/>
    </w:rPr>
  </w:style>
  <w:style w:type="character" w:customStyle="1" w:styleId="Nagwek9Znak">
    <w:name w:val="Nagłówek 9 Znak"/>
    <w:link w:val="Nagwek9"/>
    <w:uiPriority w:val="99"/>
    <w:locked/>
    <w:rsid w:val="001A6C51"/>
    <w:rPr>
      <w:rFonts w:ascii="Cambria" w:eastAsia="Times New Roman" w:hAnsi="Cambria" w:cs="Cambria"/>
      <w:i/>
      <w:iCs/>
      <w:color w:val="404040"/>
      <w:lang w:eastAsia="en-US"/>
    </w:rPr>
  </w:style>
  <w:style w:type="table" w:styleId="Tabela-Siatka">
    <w:name w:val="Table Grid"/>
    <w:basedOn w:val="Standardowy"/>
    <w:uiPriority w:val="99"/>
    <w:rsid w:val="006170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6170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61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1704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1422A"/>
    <w:rPr>
      <w:rFonts w:cs="Calibri"/>
      <w:sz w:val="22"/>
      <w:szCs w:val="22"/>
      <w:lang w:eastAsia="en-US"/>
    </w:rPr>
  </w:style>
  <w:style w:type="character" w:styleId="Odwoanieintensywne">
    <w:name w:val="Intense Reference"/>
    <w:uiPriority w:val="99"/>
    <w:qFormat/>
    <w:rsid w:val="004A3D82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rsid w:val="004A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3D82"/>
  </w:style>
  <w:style w:type="paragraph" w:styleId="Stopka">
    <w:name w:val="footer"/>
    <w:basedOn w:val="Normalny"/>
    <w:link w:val="StopkaZnak"/>
    <w:uiPriority w:val="99"/>
    <w:rsid w:val="004A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A3D82"/>
  </w:style>
  <w:style w:type="paragraph" w:styleId="Akapitzlist">
    <w:name w:val="List Paragraph"/>
    <w:basedOn w:val="Normalny"/>
    <w:uiPriority w:val="34"/>
    <w:qFormat/>
    <w:rsid w:val="00F05A1D"/>
    <w:pPr>
      <w:ind w:left="720"/>
    </w:pPr>
  </w:style>
  <w:style w:type="paragraph" w:styleId="Nagwekspisutreci">
    <w:name w:val="TOC Heading"/>
    <w:basedOn w:val="Nagwek1"/>
    <w:next w:val="Normalny"/>
    <w:uiPriority w:val="99"/>
    <w:qFormat/>
    <w:rsid w:val="00FE199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FE199B"/>
    <w:pPr>
      <w:spacing w:after="100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FE199B"/>
    <w:pPr>
      <w:spacing w:after="100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582FBD"/>
    <w:pPr>
      <w:widowControl w:val="0"/>
      <w:tabs>
        <w:tab w:val="right" w:leader="dot" w:pos="9072"/>
      </w:tabs>
      <w:spacing w:after="100"/>
      <w:jc w:val="both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B5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B52D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30FAF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52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30FAF"/>
    <w:rPr>
      <w:rFonts w:cs="Calibri"/>
      <w:b/>
      <w:bCs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DF2E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F2E4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E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DF2E42"/>
    <w:rPr>
      <w:rFonts w:cs="Calibri"/>
      <w:b/>
      <w:bCs/>
      <w:i/>
      <w:iCs/>
      <w:color w:val="4F81BD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F2E4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DF2E42"/>
    <w:rPr>
      <w:rFonts w:ascii="Cambria" w:eastAsia="Times New Roman" w:hAnsi="Cambria" w:cs="Times New Roman"/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F2E42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DF2E42"/>
    <w:rPr>
      <w:rFonts w:cs="Calibri"/>
      <w:i/>
      <w:iCs/>
      <w:color w:val="000000"/>
      <w:sz w:val="22"/>
      <w:szCs w:val="22"/>
      <w:lang w:eastAsia="en-US"/>
    </w:rPr>
  </w:style>
  <w:style w:type="character" w:styleId="Uwydatnienie">
    <w:name w:val="Emphasis"/>
    <w:qFormat/>
    <w:locked/>
    <w:rsid w:val="00DF2E4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4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34C2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EB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21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45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7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0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64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84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43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63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47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5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6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35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A937-9CE6-4DF0-AF97-8F11D6CC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8753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ZW 117/2024</vt:lpstr>
    </vt:vector>
  </TitlesOfParts>
  <Company>Politechnika Wrocławska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ZW 118/2024</dc:title>
  <dc:subject/>
  <dc:creator>Anna Szewczyk</dc:creator>
  <cp:keywords/>
  <cp:lastModifiedBy>Agnieszka Fuchs-Świejkowska</cp:lastModifiedBy>
  <cp:revision>2</cp:revision>
  <cp:lastPrinted>2024-10-14T06:43:00Z</cp:lastPrinted>
  <dcterms:created xsi:type="dcterms:W3CDTF">2024-10-17T07:59:00Z</dcterms:created>
  <dcterms:modified xsi:type="dcterms:W3CDTF">2024-10-17T07:59:00Z</dcterms:modified>
</cp:coreProperties>
</file>